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rPr>
      </w:pPr>
      <w:r>
        <w:rPr>
          <w:rFonts w:hint="eastAsia" w:ascii="黑体" w:hAnsi="黑体" w:eastAsia="黑体" w:cs="黑体"/>
          <w:b/>
          <w:bCs/>
          <w:sz w:val="52"/>
          <w:szCs w:val="52"/>
        </w:rPr>
        <w:t>重点排污单位自动监控与基础数据库系统怀化市级平台网络安全隐患整改情况报告</w:t>
      </w:r>
    </w:p>
    <w:p>
      <w:pPr>
        <w:jc w:val="center"/>
        <w:rPr>
          <w:rFonts w:hint="eastAsia" w:ascii="黑体" w:hAnsi="黑体" w:eastAsia="黑体" w:cs="黑体"/>
          <w:b/>
          <w:bCs/>
          <w:sz w:val="52"/>
          <w:szCs w:val="52"/>
        </w:rPr>
      </w:pPr>
    </w:p>
    <w:p>
      <w:pPr>
        <w:jc w:val="center"/>
        <w:rPr>
          <w:rFonts w:hint="eastAsia" w:ascii="黑体" w:hAnsi="黑体" w:eastAsia="黑体" w:cs="黑体"/>
          <w:b/>
          <w:bCs/>
          <w:sz w:val="52"/>
          <w:szCs w:val="52"/>
        </w:rPr>
      </w:pPr>
    </w:p>
    <w:p>
      <w:pPr>
        <w:jc w:val="center"/>
        <w:rPr>
          <w:rFonts w:hint="eastAsia" w:ascii="黑体" w:hAnsi="黑体" w:eastAsia="黑体" w:cs="黑体"/>
          <w:b/>
          <w:bCs/>
          <w:sz w:val="52"/>
          <w:szCs w:val="52"/>
        </w:rPr>
      </w:pPr>
    </w:p>
    <w:p>
      <w:pPr>
        <w:jc w:val="center"/>
        <w:rPr>
          <w:rFonts w:hint="eastAsia" w:ascii="黑体" w:hAnsi="黑体" w:eastAsia="黑体" w:cs="黑体"/>
          <w:b/>
          <w:bCs/>
          <w:sz w:val="52"/>
          <w:szCs w:val="52"/>
        </w:rPr>
      </w:pPr>
    </w:p>
    <w:p>
      <w:pPr>
        <w:jc w:val="center"/>
        <w:rPr>
          <w:rFonts w:hint="eastAsia" w:ascii="黑体" w:hAnsi="黑体" w:eastAsia="黑体" w:cs="黑体"/>
          <w:b/>
          <w:bCs/>
          <w:sz w:val="52"/>
          <w:szCs w:val="52"/>
        </w:rPr>
      </w:pPr>
    </w:p>
    <w:p>
      <w:pPr>
        <w:jc w:val="center"/>
        <w:rPr>
          <w:rFonts w:hint="eastAsia" w:ascii="黑体" w:hAnsi="黑体" w:eastAsia="黑体" w:cs="黑体"/>
          <w:b/>
          <w:bCs/>
          <w:sz w:val="52"/>
          <w:szCs w:val="52"/>
        </w:rPr>
      </w:pPr>
    </w:p>
    <w:p>
      <w:pPr>
        <w:jc w:val="center"/>
        <w:rPr>
          <w:rFonts w:hint="eastAsia" w:ascii="黑体" w:hAnsi="黑体" w:eastAsia="黑体" w:cs="黑体"/>
          <w:b/>
          <w:bCs/>
          <w:sz w:val="52"/>
          <w:szCs w:val="52"/>
        </w:rPr>
      </w:pPr>
    </w:p>
    <w:p>
      <w:pPr>
        <w:jc w:val="center"/>
        <w:rPr>
          <w:rFonts w:hint="eastAsia" w:ascii="黑体" w:hAnsi="黑体" w:eastAsia="黑体" w:cs="黑体"/>
          <w:b/>
          <w:bCs/>
          <w:sz w:val="52"/>
          <w:szCs w:val="52"/>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2021年10月8日</w:t>
      </w:r>
    </w:p>
    <w:p>
      <w:pPr>
        <w:jc w:val="center"/>
        <w:rPr>
          <w:rFonts w:hint="eastAsia" w:ascii="黑体" w:hAnsi="黑体" w:eastAsia="黑体" w:cs="黑体"/>
          <w:b w:val="0"/>
          <w:bCs w:val="0"/>
          <w:sz w:val="32"/>
          <w:szCs w:val="32"/>
          <w:lang w:val="en-US" w:eastAsia="zh-CN"/>
        </w:rPr>
      </w:pPr>
    </w:p>
    <w:p>
      <w:pPr>
        <w:jc w:val="center"/>
        <w:rPr>
          <w:rFonts w:hint="eastAsia" w:ascii="黑体" w:hAnsi="黑体" w:eastAsia="黑体" w:cs="黑体"/>
          <w:b w:val="0"/>
          <w:bCs w:val="0"/>
          <w:sz w:val="32"/>
          <w:szCs w:val="32"/>
          <w:lang w:val="en-US" w:eastAsia="zh-CN"/>
        </w:rPr>
      </w:pPr>
    </w:p>
    <w:p>
      <w:pPr>
        <w:jc w:val="center"/>
        <w:rPr>
          <w:rFonts w:hint="eastAsia" w:ascii="黑体" w:hAnsi="黑体" w:eastAsia="黑体" w:cs="黑体"/>
          <w:b w:val="0"/>
          <w:bCs w:val="0"/>
          <w:sz w:val="32"/>
          <w:szCs w:val="32"/>
          <w:lang w:val="en-US" w:eastAsia="zh-CN"/>
        </w:rPr>
      </w:pPr>
    </w:p>
    <w:p>
      <w:pPr>
        <w:jc w:val="center"/>
        <w:rPr>
          <w:rFonts w:hint="eastAsia" w:ascii="黑体" w:hAnsi="黑体" w:eastAsia="黑体" w:cs="黑体"/>
          <w:b w:val="0"/>
          <w:bCs w:val="0"/>
          <w:sz w:val="32"/>
          <w:szCs w:val="32"/>
          <w:lang w:val="en-US" w:eastAsia="zh-CN"/>
        </w:rPr>
      </w:pPr>
    </w:p>
    <w:p>
      <w:pPr>
        <w:jc w:val="center"/>
        <w:rPr>
          <w:rFonts w:hint="eastAsia" w:ascii="黑体" w:hAnsi="黑体" w:eastAsia="黑体" w:cs="黑体"/>
          <w:b w:val="0"/>
          <w:bCs w:val="0"/>
          <w:sz w:val="32"/>
          <w:szCs w:val="32"/>
          <w:lang w:val="en-US" w:eastAsia="zh-CN"/>
        </w:rPr>
      </w:pPr>
    </w:p>
    <w:p>
      <w:pPr>
        <w:numPr>
          <w:ilvl w:val="0"/>
          <w:numId w:val="1"/>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概述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自2021年10月8日接到怀化市生态环境局下发的《安全计算环境层面问题和整改建议》后，我公司即刻组织人力，针对检查后发现的问题，迅速修补安全漏洞，并对所属网站服务器、应用系统和数据库进行彻底检查，进一步完善安全防范措施，提高网络安全防范意识，有效增强了重点排污单位自动监控与基础数据库系统怀化市级平台对有害信息的防范能力和防泄密水平。</w:t>
      </w: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ind w:firstLine="640" w:firstLineChars="200"/>
        <w:jc w:val="both"/>
        <w:rPr>
          <w:rFonts w:hint="eastAsia" w:ascii="宋体" w:hAnsi="宋体" w:eastAsia="宋体" w:cs="宋体"/>
          <w:b w:val="0"/>
          <w:bCs w:val="0"/>
          <w:sz w:val="32"/>
          <w:szCs w:val="32"/>
          <w:lang w:val="en-US" w:eastAsia="zh-CN"/>
        </w:rPr>
      </w:pPr>
    </w:p>
    <w:p>
      <w:pPr>
        <w:numPr>
          <w:ilvl w:val="0"/>
          <w:numId w:val="0"/>
        </w:numPr>
        <w:jc w:val="both"/>
        <w:rPr>
          <w:rFonts w:hint="eastAsia" w:ascii="宋体" w:hAnsi="宋体" w:eastAsia="宋体" w:cs="宋体"/>
          <w:b w:val="0"/>
          <w:bCs w:val="0"/>
          <w:sz w:val="32"/>
          <w:szCs w:val="32"/>
          <w:lang w:val="en-US" w:eastAsia="zh-CN"/>
        </w:rPr>
      </w:pPr>
    </w:p>
    <w:p>
      <w:pPr>
        <w:numPr>
          <w:ilvl w:val="0"/>
          <w:numId w:val="1"/>
        </w:num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整改情况</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2.1.1服务器和终端弱口令问题</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服务器、终端未满足口令复杂度校验机制，存在弱口令和相同口令，未定期更换口令。</w:t>
      </w:r>
    </w:p>
    <w:p>
      <w:pPr>
        <w:numPr>
          <w:ilvl w:val="0"/>
          <w:numId w:val="2"/>
        </w:numPr>
        <w:ind w:firstLine="640" w:firstLineChars="20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default"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对windows操作系统开启本地安全策略-账户策略-密码策略，启用密码复杂性要求，设置密码最小长度为8个字符；对Windows操作系统进行加固，开启本地安全策略-账户策略-密码策略：密码必须符合复杂性要求 已启用，密码长度最小值：8个字符，密码最长使用期限：90天。</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2.1.2服务器登陆失败及超时问题</w:t>
      </w:r>
    </w:p>
    <w:p>
      <w:pPr>
        <w:numPr>
          <w:ilvl w:val="0"/>
          <w:numId w:val="3"/>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操作系统无登录失败处理功能，操作系统未设置超时。</w:t>
      </w:r>
    </w:p>
    <w:p>
      <w:pPr>
        <w:numPr>
          <w:ilvl w:val="0"/>
          <w:numId w:val="3"/>
        </w:numPr>
        <w:ind w:left="0"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开启终端Windows操作系统账户策略-账户锁定策略，账户锁定阈值为5次，账户锁定时间为30分钟；开启终端Windows操作系统屏幕保护程序，结合业务需求，设置屏保等待时间，如15分钟，并勾选“恢复时显示登录屏幕”。</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2.1.3服务器未开启审计策略</w:t>
      </w:r>
    </w:p>
    <w:p>
      <w:pPr>
        <w:numPr>
          <w:ilvl w:val="0"/>
          <w:numId w:val="4"/>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服务器未开启审核策略。</w:t>
      </w:r>
    </w:p>
    <w:p>
      <w:pPr>
        <w:numPr>
          <w:ilvl w:val="0"/>
          <w:numId w:val="4"/>
        </w:numPr>
        <w:ind w:left="0"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开启服务器审核功能，如：控制面板-管理工具-安全策略-本地安全策略-审核策略下开启全部审核功能。</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2.1.4服务器未将审计记录及日志上传至审计设备</w:t>
      </w:r>
    </w:p>
    <w:p>
      <w:pPr>
        <w:numPr>
          <w:ilvl w:val="0"/>
          <w:numId w:val="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服务器、终端、审计记录未上传至日志审计设备中进行集中保护。</w:t>
      </w:r>
    </w:p>
    <w:p>
      <w:pPr>
        <w:numPr>
          <w:ilvl w:val="0"/>
          <w:numId w:val="5"/>
        </w:numPr>
        <w:ind w:left="0"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建议市局提供专门设备将服务器、终端审计日志上传至日志审计设备中进行集中保护。</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2.1.5服务器存在高危端口问题</w:t>
      </w:r>
    </w:p>
    <w:p>
      <w:pPr>
        <w:numPr>
          <w:ilvl w:val="0"/>
          <w:numId w:val="6"/>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服务器开启了135 、137、445等高危端口。</w:t>
      </w:r>
    </w:p>
    <w:p>
      <w:pPr>
        <w:numPr>
          <w:ilvl w:val="0"/>
          <w:numId w:val="6"/>
        </w:numPr>
        <w:ind w:left="0"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加强服务器的管理，禁用不需要的服务；通过注册表关闭磁盘默认共享；通过系统防火墙或IP安全策略设置策略禁用高危端口通信。</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2.1.6应用系统弱口令问题</w:t>
      </w:r>
    </w:p>
    <w:p>
      <w:pPr>
        <w:numPr>
          <w:ilvl w:val="0"/>
          <w:numId w:val="7"/>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数据库、应用系统未满足口令复杂度校验机制，存在弱口令和相同口令，未定期更换口令。</w:t>
      </w:r>
    </w:p>
    <w:p>
      <w:pPr>
        <w:numPr>
          <w:ilvl w:val="0"/>
          <w:numId w:val="7"/>
        </w:numPr>
        <w:ind w:left="0"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开启Oracle数据库“PASSWORD_VERIFY_FUNCTION ”函数，设置口令强度策略，或使用第三方加固系统加固；对SQLServer数据库所在Windows服务器操作系统进行加固；在应用系统加入密码复杂度校验机制，如口令长度≥8，由大小写、数字和特殊字符其中三类组成（最低要求：长度大于6，由字母和数字组成）；每90天定期更换操作系统、数据库和应用系统管理账户的口令；开启MySQL数据库“validate password”插件，设置口令强度策略。</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2.1.7应用系统登陆失败及超时问题</w:t>
      </w:r>
    </w:p>
    <w:p>
      <w:pPr>
        <w:numPr>
          <w:ilvl w:val="0"/>
          <w:numId w:val="8"/>
        </w:numPr>
        <w:ind w:firstLine="640" w:firstLineChars="20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数据库、应用系统未开启登录失败策略，可输入多次错误口令；操作系统开启设置屏保功能，服务器操作未设置远程超时退出功能。</w:t>
      </w:r>
    </w:p>
    <w:p>
      <w:pPr>
        <w:numPr>
          <w:ilvl w:val="0"/>
          <w:numId w:val="8"/>
        </w:numPr>
        <w:ind w:left="0"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对部署数据库的服务器设置登录失败处理功能和空闲会话超时自动退出操作界面；对应用系统设置登录失败处理机制，如登录失败5次，锁定该账户10分钟。</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2.1.8应用系统未采用加密技术</w:t>
      </w:r>
    </w:p>
    <w:p>
      <w:pPr>
        <w:numPr>
          <w:ilvl w:val="0"/>
          <w:numId w:val="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应用系统远程管理时采用http登陆管理，数据明文传输，未采用加密技术防止鉴别信息在网络传输过程中被窃听。</w:t>
      </w:r>
    </w:p>
    <w:p>
      <w:pPr>
        <w:numPr>
          <w:ilvl w:val="0"/>
          <w:numId w:val="9"/>
        </w:numPr>
        <w:ind w:left="0"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建议应用系统采取外部加密机制或采用https登录方式，防止鉴别信息在网络传输过程中被窃听。</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2.1.9数据库未将审计记录及日志上传至审计设备</w:t>
      </w:r>
    </w:p>
    <w:p>
      <w:pPr>
        <w:numPr>
          <w:ilvl w:val="0"/>
          <w:numId w:val="1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数据库审计记录未上传至日志审计设备中进行集中保护。</w:t>
      </w:r>
    </w:p>
    <w:p>
      <w:pPr>
        <w:numPr>
          <w:ilvl w:val="0"/>
          <w:numId w:val="10"/>
        </w:numPr>
        <w:ind w:left="0"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建议市局提供专门设备将服务器、终端审计日志上传至日志审计设备中进行集中保护。</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2.1.10应用系统通信未采用加密</w:t>
      </w:r>
    </w:p>
    <w:p>
      <w:pPr>
        <w:numPr>
          <w:ilvl w:val="0"/>
          <w:numId w:val="11"/>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未采用密码技术进行通信完整性验证。</w:t>
      </w:r>
    </w:p>
    <w:p>
      <w:pPr>
        <w:numPr>
          <w:ilvl w:val="0"/>
          <w:numId w:val="11"/>
        </w:numPr>
        <w:ind w:left="0"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建议为业务应用系统配置SSL证书/HTTPS证书。</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2.1.11个人信息问题</w:t>
      </w:r>
    </w:p>
    <w:p>
      <w:pPr>
        <w:numPr>
          <w:ilvl w:val="0"/>
          <w:numId w:val="12"/>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问题描述</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单位未制定公民个人信息在信息系统收集中的相关管理制度。</w:t>
      </w:r>
    </w:p>
    <w:p>
      <w:pPr>
        <w:numPr>
          <w:ilvl w:val="0"/>
          <w:numId w:val="12"/>
        </w:numPr>
        <w:ind w:left="0" w:leftChars="0" w:firstLine="640" w:firstLineChars="20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整改情况</w:t>
      </w:r>
    </w:p>
    <w:p>
      <w:pPr>
        <w:numPr>
          <w:ilvl w:val="0"/>
          <w:numId w:val="0"/>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建议结合行业或主管部门相关法律法规制定个人信息管理流程或制度，对应用系统所需的个人信息的收集、使用、存储和授权等方面进行规范化管理。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104"/>
        <w:gridCol w:w="1309"/>
        <w:gridCol w:w="369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EAAAA" w:themeFill="background2" w:themeFillShade="BF"/>
          </w:tcPr>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关联资产</w:t>
            </w:r>
          </w:p>
        </w:tc>
        <w:tc>
          <w:tcPr>
            <w:tcW w:w="1704" w:type="dxa"/>
            <w:shd w:val="clear" w:color="auto" w:fill="AEAAAA" w:themeFill="background2" w:themeFillShade="BF"/>
          </w:tcPr>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风险值</w:t>
            </w:r>
          </w:p>
        </w:tc>
        <w:tc>
          <w:tcPr>
            <w:tcW w:w="1704" w:type="dxa"/>
            <w:shd w:val="clear" w:color="auto" w:fill="AEAAAA" w:themeFill="background2" w:themeFillShade="BF"/>
          </w:tcPr>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问题描述</w:t>
            </w:r>
          </w:p>
        </w:tc>
        <w:tc>
          <w:tcPr>
            <w:tcW w:w="1705" w:type="dxa"/>
            <w:shd w:val="clear" w:color="auto" w:fill="AEAAAA" w:themeFill="background2" w:themeFillShade="BF"/>
          </w:tcPr>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整改建议</w:t>
            </w:r>
          </w:p>
        </w:tc>
        <w:tc>
          <w:tcPr>
            <w:tcW w:w="1705" w:type="dxa"/>
            <w:shd w:val="clear" w:color="auto" w:fill="AEAAAA" w:themeFill="background2" w:themeFillShade="BF"/>
          </w:tcPr>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是否解决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default" w:ascii="宋体" w:hAnsi="宋体" w:eastAsia="宋体" w:cs="宋体"/>
                <w:b w:val="0"/>
                <w:bCs w:val="0"/>
                <w:sz w:val="32"/>
                <w:szCs w:val="32"/>
                <w:vertAlign w:val="baseline"/>
                <w:lang w:val="en-US" w:eastAsia="zh-CN"/>
              </w:rPr>
            </w:pPr>
            <w:r>
              <w:rPr>
                <w:rFonts w:hint="eastAsia" w:ascii="宋体" w:hAnsi="宋体" w:cs="Arial"/>
                <w:kern w:val="0"/>
                <w:sz w:val="24"/>
                <w:szCs w:val="24"/>
              </w:rPr>
              <w:t>交换服务器、数据库服务器、应用服务器</w:t>
            </w:r>
          </w:p>
        </w:tc>
        <w:tc>
          <w:tcPr>
            <w:tcW w:w="1704" w:type="dxa"/>
          </w:tcPr>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default" w:ascii="宋体" w:hAnsi="宋体" w:eastAsia="宋体" w:cs="宋体"/>
                <w:b w:val="0"/>
                <w:bCs w:val="0"/>
                <w:sz w:val="32"/>
                <w:szCs w:val="32"/>
                <w:vertAlign w:val="baseline"/>
                <w:lang w:val="en-US" w:eastAsia="zh-CN"/>
              </w:rPr>
            </w:pPr>
            <w:r>
              <w:rPr>
                <w:rFonts w:hint="eastAsia" w:ascii="宋体" w:hAnsi="宋体" w:cs="Arial"/>
                <w:kern w:val="0"/>
                <w:sz w:val="24"/>
                <w:szCs w:val="24"/>
              </w:rPr>
              <w:t>服务器、终端未满足口令复杂度校验机制，存在弱口令和相同口令，未定期更换口令。</w:t>
            </w:r>
          </w:p>
        </w:tc>
        <w:tc>
          <w:tcPr>
            <w:tcW w:w="1705" w:type="dxa"/>
            <w:vAlign w:val="center"/>
          </w:tcPr>
          <w:p>
            <w:pPr>
              <w:widowControl/>
              <w:rPr>
                <w:rFonts w:hint="default" w:ascii="宋体" w:hAnsi="宋体" w:cs="Arial" w:eastAsiaTheme="minorEastAsia"/>
                <w:kern w:val="0"/>
                <w:sz w:val="24"/>
                <w:szCs w:val="24"/>
                <w:lang w:val="en-US" w:eastAsia="zh-CN" w:bidi="ar-SA"/>
              </w:rPr>
            </w:pPr>
            <w:r>
              <w:rPr>
                <w:rFonts w:hint="eastAsia" w:ascii="宋体" w:hAnsi="宋体" w:cs="Arial"/>
                <w:kern w:val="0"/>
                <w:sz w:val="24"/>
                <w:szCs w:val="24"/>
              </w:rPr>
              <w:t>1、建议对windows操作系统开启本地安全策略-账户策略-密码策略，启用密码复杂性要求，设置密码最小长度为8个字符；</w:t>
            </w:r>
            <w:r>
              <w:rPr>
                <w:rFonts w:hint="eastAsia" w:ascii="宋体" w:hAnsi="宋体" w:cs="Arial"/>
                <w:kern w:val="0"/>
                <w:sz w:val="24"/>
                <w:szCs w:val="24"/>
              </w:rPr>
              <w:br w:type="textWrapping"/>
            </w:r>
            <w:r>
              <w:rPr>
                <w:rFonts w:hint="eastAsia" w:ascii="宋体" w:hAnsi="宋体" w:cs="Arial"/>
                <w:kern w:val="0"/>
                <w:sz w:val="24"/>
                <w:szCs w:val="24"/>
              </w:rPr>
              <w:t>2、建议对Windows操作系统进行加固，开启本地安全策略-账户策略-密码策略：密码必须符合复杂性要求 已启用，密码长度最小值：8个字符，密码最长使用期限：90天。</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已</w:t>
            </w:r>
          </w:p>
          <w:p>
            <w:pPr>
              <w:numPr>
                <w:ilvl w:val="0"/>
                <w:numId w:val="0"/>
              </w:num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解</w:t>
            </w:r>
          </w:p>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default" w:ascii="宋体" w:hAnsi="宋体" w:eastAsia="宋体" w:cs="宋体"/>
                <w:b w:val="0"/>
                <w:bCs w:val="0"/>
                <w:sz w:val="32"/>
                <w:szCs w:val="32"/>
                <w:vertAlign w:val="baseline"/>
                <w:lang w:val="en-US" w:eastAsia="zh-CN"/>
              </w:rPr>
            </w:pPr>
            <w:r>
              <w:rPr>
                <w:rFonts w:hint="eastAsia" w:ascii="宋体" w:hAnsi="宋体" w:cs="Arial"/>
                <w:kern w:val="0"/>
                <w:sz w:val="24"/>
                <w:szCs w:val="24"/>
              </w:rPr>
              <w:t>交换服务器、数据库服务器、应用服务器</w:t>
            </w:r>
          </w:p>
        </w:tc>
        <w:tc>
          <w:tcPr>
            <w:tcW w:w="1704" w:type="dxa"/>
          </w:tcPr>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default" w:ascii="宋体" w:hAnsi="宋体" w:eastAsia="宋体" w:cs="宋体"/>
                <w:b w:val="0"/>
                <w:bCs w:val="0"/>
                <w:sz w:val="32"/>
                <w:szCs w:val="32"/>
                <w:vertAlign w:val="baseline"/>
                <w:lang w:val="en-US" w:eastAsia="zh-CN"/>
              </w:rPr>
            </w:pPr>
            <w:r>
              <w:rPr>
                <w:rFonts w:hint="eastAsia" w:ascii="宋体" w:hAnsi="宋体" w:cs="Arial"/>
                <w:kern w:val="0"/>
                <w:sz w:val="24"/>
                <w:szCs w:val="24"/>
              </w:rPr>
              <w:t>操作系统无登录失败处理功能，操作系统未设置超时。</w:t>
            </w:r>
          </w:p>
        </w:tc>
        <w:tc>
          <w:tcPr>
            <w:tcW w:w="1705" w:type="dxa"/>
          </w:tcPr>
          <w:p>
            <w:pPr>
              <w:numPr>
                <w:ilvl w:val="0"/>
                <w:numId w:val="0"/>
              </w:numPr>
              <w:jc w:val="both"/>
              <w:rPr>
                <w:rFonts w:hint="default" w:ascii="宋体" w:hAnsi="宋体" w:eastAsia="宋体" w:cs="宋体"/>
                <w:b w:val="0"/>
                <w:bCs w:val="0"/>
                <w:sz w:val="32"/>
                <w:szCs w:val="32"/>
                <w:vertAlign w:val="baseline"/>
                <w:lang w:val="en-US" w:eastAsia="zh-CN"/>
              </w:rPr>
            </w:pPr>
            <w:r>
              <w:rPr>
                <w:rFonts w:hint="eastAsia" w:ascii="宋体" w:hAnsi="宋体" w:cs="Arial"/>
                <w:kern w:val="0"/>
                <w:sz w:val="24"/>
                <w:szCs w:val="24"/>
              </w:rPr>
              <w:t>1.建议开启终端Windows操作系统账户策略-账户锁定策略，账户锁定阈值为5次，账户锁定时间为30分钟；</w:t>
            </w:r>
            <w:r>
              <w:rPr>
                <w:rFonts w:hint="eastAsia" w:ascii="宋体" w:hAnsi="宋体" w:cs="Arial"/>
                <w:kern w:val="0"/>
                <w:sz w:val="24"/>
                <w:szCs w:val="24"/>
              </w:rPr>
              <w:br w:type="textWrapping"/>
            </w:r>
            <w:r>
              <w:rPr>
                <w:rFonts w:hint="eastAsia" w:ascii="宋体" w:hAnsi="宋体" w:cs="Arial"/>
                <w:kern w:val="0"/>
                <w:sz w:val="24"/>
                <w:szCs w:val="24"/>
              </w:rPr>
              <w:t>2.建议开启终端Windows操作系统屏幕保护程序，结合业务需求，设置屏保等待时间，如15分钟，并勾选“恢复时显示登录屏幕”。</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已</w:t>
            </w:r>
          </w:p>
          <w:p>
            <w:pPr>
              <w:numPr>
                <w:ilvl w:val="0"/>
                <w:numId w:val="0"/>
              </w:num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解</w:t>
            </w:r>
          </w:p>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交换服务器、数据库服务器、应用服务器</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服务器未开启审核策略。</w:t>
            </w:r>
          </w:p>
        </w:tc>
        <w:tc>
          <w:tcPr>
            <w:tcW w:w="1705"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建议开启服务器审核功能，如：控制面板-管理工具-安全策略-本地安全策略-审核策略下开启全部审核功能。</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已</w:t>
            </w:r>
          </w:p>
          <w:p>
            <w:pPr>
              <w:numPr>
                <w:ilvl w:val="0"/>
                <w:numId w:val="0"/>
              </w:num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解</w:t>
            </w:r>
          </w:p>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交换服务器、数据库服务器、应用服务器</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eastAsia" w:ascii="宋体" w:hAnsi="宋体" w:cs="Arial"/>
                <w:kern w:val="0"/>
                <w:sz w:val="24"/>
                <w:szCs w:val="24"/>
                <w:lang w:val="en-US" w:eastAsia="zh-CN"/>
              </w:rPr>
            </w:pPr>
            <w:r>
              <w:rPr>
                <w:rFonts w:hint="eastAsia" w:ascii="宋体" w:hAnsi="宋体" w:cs="Arial"/>
                <w:kern w:val="0"/>
                <w:sz w:val="24"/>
                <w:szCs w:val="24"/>
                <w:lang w:val="en-US" w:eastAsia="zh-CN"/>
              </w:rPr>
              <w:t>服务器、终端、审计记录未上传至日志审计设备中进行集中保护。</w:t>
            </w:r>
          </w:p>
          <w:p>
            <w:pPr>
              <w:numPr>
                <w:ilvl w:val="0"/>
                <w:numId w:val="0"/>
              </w:numPr>
              <w:jc w:val="both"/>
              <w:rPr>
                <w:rFonts w:hint="eastAsia" w:ascii="宋体" w:hAnsi="宋体" w:cs="Arial"/>
                <w:kern w:val="0"/>
                <w:sz w:val="24"/>
                <w:szCs w:val="24"/>
              </w:rPr>
            </w:pPr>
          </w:p>
        </w:tc>
        <w:tc>
          <w:tcPr>
            <w:tcW w:w="1705" w:type="dxa"/>
          </w:tcPr>
          <w:p>
            <w:pPr>
              <w:numPr>
                <w:ilvl w:val="0"/>
                <w:numId w:val="0"/>
              </w:numPr>
              <w:jc w:val="both"/>
              <w:rPr>
                <w:rFonts w:hint="eastAsia" w:ascii="宋体" w:hAnsi="宋体" w:cs="Arial"/>
                <w:kern w:val="0"/>
                <w:sz w:val="24"/>
                <w:szCs w:val="24"/>
                <w:lang w:val="en-US" w:eastAsia="zh-CN"/>
              </w:rPr>
            </w:pPr>
            <w:r>
              <w:rPr>
                <w:rFonts w:hint="eastAsia" w:ascii="宋体" w:hAnsi="宋体" w:cs="Arial"/>
                <w:kern w:val="0"/>
                <w:sz w:val="24"/>
                <w:szCs w:val="24"/>
                <w:lang w:val="en-US" w:eastAsia="zh-CN"/>
              </w:rPr>
              <w:t>建议市局提供专门设备将服务器、终端审计日志上传至日志审计设备中进行集中保护。</w:t>
            </w:r>
          </w:p>
          <w:p>
            <w:pPr>
              <w:numPr>
                <w:ilvl w:val="0"/>
                <w:numId w:val="0"/>
              </w:numPr>
              <w:jc w:val="both"/>
              <w:rPr>
                <w:rFonts w:hint="eastAsia" w:ascii="宋体" w:hAnsi="宋体" w:cs="Arial"/>
                <w:kern w:val="0"/>
                <w:sz w:val="24"/>
                <w:szCs w:val="24"/>
              </w:rPr>
            </w:pP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交换服务器、数据库服务器、应用服务器</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center"/>
              <w:rPr>
                <w:rFonts w:hint="eastAsia" w:ascii="宋体" w:hAnsi="宋体" w:cs="Arial"/>
                <w:kern w:val="0"/>
                <w:sz w:val="24"/>
                <w:szCs w:val="24"/>
              </w:rPr>
            </w:pPr>
            <w:r>
              <w:rPr>
                <w:rFonts w:hint="eastAsia" w:ascii="宋体" w:hAnsi="宋体" w:cs="Arial"/>
                <w:kern w:val="0"/>
                <w:sz w:val="24"/>
                <w:szCs w:val="24"/>
              </w:rPr>
              <w:t>服务器开启了135 、137、445等高危端口及默认共享。</w:t>
            </w:r>
          </w:p>
        </w:tc>
        <w:tc>
          <w:tcPr>
            <w:tcW w:w="1705"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建议加强服务器的管理，禁用不需要的服务；通过注册表关闭磁盘默认共享；通过系统防火墙或IP安全策略设置策略禁用高危端口通信。</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已</w:t>
            </w:r>
          </w:p>
          <w:p>
            <w:pPr>
              <w:numPr>
                <w:ilvl w:val="0"/>
                <w:numId w:val="0"/>
              </w:numPr>
              <w:jc w:val="cente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解</w:t>
            </w:r>
          </w:p>
          <w:p>
            <w:pPr>
              <w:numPr>
                <w:ilvl w:val="0"/>
                <w:numId w:val="0"/>
              </w:numPr>
              <w:jc w:val="center"/>
              <w:rPr>
                <w:rFonts w:hint="default"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重点排污单位自动监控与基础数据库系统、SQL Server数据库</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数据库、应用系统未满足口令复杂度校验机制，存在弱口令和相同口令，未定期更换口令。</w:t>
            </w:r>
          </w:p>
        </w:tc>
        <w:tc>
          <w:tcPr>
            <w:tcW w:w="1705"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1、建议开启Oracle数据库“PASSWORD_VERIFY_FUNCTION ”函数，设置口令强度策略，或使用第三方加固系统加固；</w:t>
            </w:r>
            <w:r>
              <w:rPr>
                <w:rFonts w:hint="eastAsia" w:ascii="宋体" w:hAnsi="宋体" w:cs="Arial"/>
                <w:kern w:val="0"/>
                <w:sz w:val="24"/>
                <w:szCs w:val="24"/>
              </w:rPr>
              <w:br w:type="textWrapping"/>
            </w:r>
            <w:r>
              <w:rPr>
                <w:rFonts w:hint="eastAsia" w:ascii="宋体" w:hAnsi="宋体" w:cs="Arial"/>
                <w:kern w:val="0"/>
                <w:sz w:val="24"/>
                <w:szCs w:val="24"/>
              </w:rPr>
              <w:t>2、建议对SQLServer数据库所在Windows服务器操作系统进行加固；</w:t>
            </w:r>
            <w:r>
              <w:rPr>
                <w:rFonts w:hint="eastAsia" w:ascii="宋体" w:hAnsi="宋体" w:cs="Arial"/>
                <w:kern w:val="0"/>
                <w:sz w:val="24"/>
                <w:szCs w:val="24"/>
              </w:rPr>
              <w:br w:type="textWrapping"/>
            </w:r>
            <w:r>
              <w:rPr>
                <w:rFonts w:hint="eastAsia" w:ascii="宋体" w:hAnsi="宋体" w:cs="Arial"/>
                <w:kern w:val="0"/>
                <w:sz w:val="24"/>
                <w:szCs w:val="24"/>
              </w:rPr>
              <w:t>3、建议在应用系统加入密码复杂度校验机制，如口令长度≥8，由大小写、数字和特殊字符其中三类组成（最低要求：长度大于6，由字母和数字组成）；</w:t>
            </w:r>
            <w:r>
              <w:rPr>
                <w:rFonts w:hint="eastAsia" w:ascii="宋体" w:hAnsi="宋体" w:cs="Arial"/>
                <w:kern w:val="0"/>
                <w:sz w:val="24"/>
                <w:szCs w:val="24"/>
              </w:rPr>
              <w:br w:type="textWrapping"/>
            </w:r>
            <w:r>
              <w:rPr>
                <w:rFonts w:hint="eastAsia" w:ascii="宋体" w:hAnsi="宋体" w:cs="Arial"/>
                <w:kern w:val="0"/>
                <w:sz w:val="24"/>
                <w:szCs w:val="24"/>
              </w:rPr>
              <w:t>4、建议每90天定期更换操作系统、数据库和应用系统管理账户的口令。</w:t>
            </w:r>
            <w:r>
              <w:rPr>
                <w:rFonts w:hint="eastAsia" w:ascii="宋体" w:hAnsi="宋体" w:cs="Arial"/>
                <w:kern w:val="0"/>
                <w:sz w:val="24"/>
                <w:szCs w:val="24"/>
              </w:rPr>
              <w:br w:type="textWrapping"/>
            </w:r>
            <w:r>
              <w:rPr>
                <w:rFonts w:hint="eastAsia" w:ascii="宋体" w:hAnsi="宋体" w:cs="Arial"/>
                <w:kern w:val="0"/>
                <w:sz w:val="24"/>
                <w:szCs w:val="24"/>
              </w:rPr>
              <w:t>3、建议开启MySQL数据库“validate password”插件，设置口令强度策略。</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重点排污单位自动监控与基础数据库系统、SQL Server数据库</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数据库、应用系统无登录失败处理功能，操作系统未设置超时。</w:t>
            </w:r>
          </w:p>
        </w:tc>
        <w:tc>
          <w:tcPr>
            <w:tcW w:w="1705"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1、建议对部署数据库的服务器设置登录失败处理功能和空闲会话超时自动退出操作界面；</w:t>
            </w:r>
            <w:r>
              <w:rPr>
                <w:rFonts w:hint="eastAsia" w:ascii="宋体" w:hAnsi="宋体" w:cs="Arial"/>
                <w:kern w:val="0"/>
                <w:sz w:val="24"/>
                <w:szCs w:val="24"/>
              </w:rPr>
              <w:br w:type="textWrapping"/>
            </w:r>
            <w:r>
              <w:rPr>
                <w:rFonts w:hint="eastAsia" w:ascii="宋体" w:hAnsi="宋体" w:cs="Arial"/>
                <w:kern w:val="0"/>
                <w:sz w:val="24"/>
                <w:szCs w:val="24"/>
              </w:rPr>
              <w:t>2、建议对应用系统设置登录失败处理机制，如登录失败5次，锁定该账户10分钟。</w:t>
            </w:r>
          </w:p>
        </w:tc>
        <w:tc>
          <w:tcPr>
            <w:tcW w:w="1705" w:type="dxa"/>
          </w:tcPr>
          <w:p>
            <w:pPr>
              <w:numPr>
                <w:ilvl w:val="0"/>
                <w:numId w:val="0"/>
              </w:numPr>
              <w:jc w:val="both"/>
              <w:rPr>
                <w:rFonts w:hint="default" w:ascii="宋体" w:hAnsi="宋体" w:eastAsia="宋体" w:cs="宋体"/>
                <w:b w:val="0"/>
                <w:bCs w:val="0"/>
                <w:sz w:val="32"/>
                <w:szCs w:val="32"/>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重点排污单位自动监控与基础数据库系统、SQL Server数据库</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应用系统远程管理时采用http登陆管理，数据明文传输，未采用加密技术防止鉴别信息在网络传输过程中被窃听。</w:t>
            </w:r>
          </w:p>
        </w:tc>
        <w:tc>
          <w:tcPr>
            <w:tcW w:w="1705"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建议应用系统采取外部加密机制或采用https登录方式，防止鉴别信息在网络传输过程中被窃听。</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SQL Server数据库</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数据库审计记录未上传至日志审计设备中进行集中保护。</w:t>
            </w:r>
          </w:p>
        </w:tc>
        <w:tc>
          <w:tcPr>
            <w:tcW w:w="1705"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建议将数据库审计日志上传至日志审计设备中进行集中保护。</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重点排污单位自动监控与基础数据库系统</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未采用密码技术进行通信完整性验证。</w:t>
            </w:r>
          </w:p>
        </w:tc>
        <w:tc>
          <w:tcPr>
            <w:tcW w:w="1705"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建议为业务应用系统配置SSL证书/HTTPS证书。</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重点排污单位自动监控与基础数据库系统、SQL Server数据库</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单位未制定公民个人信息在信息系统收集中的相关管理制度。</w:t>
            </w:r>
          </w:p>
        </w:tc>
        <w:tc>
          <w:tcPr>
            <w:tcW w:w="1705"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建议结合行业或主管部门相关法律法规制定个人信息管理流程或制度，对应用系统所需的个人信息的收集、使用、存储和授权等方面进行规范化管理。</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重点排污单位自动监控与基础数据库系统、SQL Server数据库</w:t>
            </w:r>
          </w:p>
        </w:tc>
        <w:tc>
          <w:tcPr>
            <w:tcW w:w="1704" w:type="dxa"/>
          </w:tcPr>
          <w:p>
            <w:pPr>
              <w:numPr>
                <w:ilvl w:val="0"/>
                <w:numId w:val="0"/>
              </w:numPr>
              <w:jc w:val="center"/>
              <w:rPr>
                <w:rFonts w:hint="default" w:ascii="宋体" w:hAnsi="宋体" w:eastAsia="宋体" w:cs="宋体"/>
                <w:b w:val="0"/>
                <w:bCs w:val="0"/>
                <w:color w:val="FF0000"/>
                <w:sz w:val="32"/>
                <w:szCs w:val="32"/>
                <w:vertAlign w:val="baseline"/>
                <w:lang w:val="en-US" w:eastAsia="zh-CN"/>
              </w:rPr>
            </w:pPr>
            <w:r>
              <w:rPr>
                <w:rFonts w:hint="eastAsia" w:ascii="宋体" w:hAnsi="宋体" w:eastAsia="宋体" w:cs="宋体"/>
                <w:b w:val="0"/>
                <w:bCs w:val="0"/>
                <w:color w:val="FF0000"/>
                <w:sz w:val="32"/>
                <w:szCs w:val="32"/>
                <w:vertAlign w:val="baseline"/>
                <w:lang w:val="en-US" w:eastAsia="zh-CN"/>
              </w:rPr>
              <w:t>高</w:t>
            </w:r>
          </w:p>
        </w:tc>
        <w:tc>
          <w:tcPr>
            <w:tcW w:w="1704"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单位内部未制定对个人信息进行保护的相关管理制度。</w:t>
            </w:r>
          </w:p>
        </w:tc>
        <w:tc>
          <w:tcPr>
            <w:tcW w:w="1705" w:type="dxa"/>
          </w:tcPr>
          <w:p>
            <w:pPr>
              <w:numPr>
                <w:ilvl w:val="0"/>
                <w:numId w:val="0"/>
              </w:numPr>
              <w:jc w:val="both"/>
              <w:rPr>
                <w:rFonts w:hint="eastAsia" w:ascii="宋体" w:hAnsi="宋体" w:cs="Arial"/>
                <w:kern w:val="0"/>
                <w:sz w:val="24"/>
                <w:szCs w:val="24"/>
              </w:rPr>
            </w:pPr>
            <w:r>
              <w:rPr>
                <w:rFonts w:hint="eastAsia" w:ascii="宋体" w:hAnsi="宋体" w:cs="Arial"/>
                <w:kern w:val="0"/>
                <w:sz w:val="24"/>
                <w:szCs w:val="24"/>
              </w:rPr>
              <w:t>建议结合行业或主管部门相关法律法规制定个人信息管理流程或制度，对应用系统所需的个人信息的收集、使用、存储和授权等方面进行规范化管理。</w:t>
            </w:r>
          </w:p>
        </w:tc>
        <w:tc>
          <w:tcPr>
            <w:tcW w:w="1705" w:type="dxa"/>
          </w:tcPr>
          <w:p>
            <w:pPr>
              <w:numPr>
                <w:ilvl w:val="0"/>
                <w:numId w:val="0"/>
              </w:numPr>
              <w:jc w:val="center"/>
              <w:rPr>
                <w:rFonts w:hint="eastAsia" w:ascii="宋体" w:hAnsi="宋体" w:eastAsia="宋体" w:cs="宋体"/>
                <w:b w:val="0"/>
                <w:bCs w:val="0"/>
                <w:sz w:val="32"/>
                <w:szCs w:val="32"/>
                <w:vertAlign w:val="baseline"/>
                <w:lang w:val="en-US" w:eastAsia="zh-CN"/>
              </w:rPr>
            </w:pPr>
          </w:p>
        </w:tc>
      </w:tr>
    </w:tbl>
    <w:p>
      <w:pPr>
        <w:numPr>
          <w:ilvl w:val="0"/>
          <w:numId w:val="0"/>
        </w:numPr>
        <w:jc w:val="both"/>
        <w:rPr>
          <w:rFonts w:hint="default" w:ascii="宋体" w:hAnsi="宋体" w:eastAsia="宋体" w:cs="宋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44E2"/>
    <w:multiLevelType w:val="singleLevel"/>
    <w:tmpl w:val="857444E2"/>
    <w:lvl w:ilvl="0" w:tentative="0">
      <w:start w:val="1"/>
      <w:numFmt w:val="decimal"/>
      <w:suff w:val="nothing"/>
      <w:lvlText w:val="%1）"/>
      <w:lvlJc w:val="left"/>
    </w:lvl>
  </w:abstractNum>
  <w:abstractNum w:abstractNumId="1">
    <w:nsid w:val="915E543C"/>
    <w:multiLevelType w:val="singleLevel"/>
    <w:tmpl w:val="915E543C"/>
    <w:lvl w:ilvl="0" w:tentative="0">
      <w:start w:val="1"/>
      <w:numFmt w:val="decimal"/>
      <w:suff w:val="nothing"/>
      <w:lvlText w:val="%1）"/>
      <w:lvlJc w:val="left"/>
    </w:lvl>
  </w:abstractNum>
  <w:abstractNum w:abstractNumId="2">
    <w:nsid w:val="A2E97DDC"/>
    <w:multiLevelType w:val="singleLevel"/>
    <w:tmpl w:val="A2E97DDC"/>
    <w:lvl w:ilvl="0" w:tentative="0">
      <w:start w:val="1"/>
      <w:numFmt w:val="decimal"/>
      <w:suff w:val="nothing"/>
      <w:lvlText w:val="%1）"/>
      <w:lvlJc w:val="left"/>
    </w:lvl>
  </w:abstractNum>
  <w:abstractNum w:abstractNumId="3">
    <w:nsid w:val="C7299752"/>
    <w:multiLevelType w:val="singleLevel"/>
    <w:tmpl w:val="C7299752"/>
    <w:lvl w:ilvl="0" w:tentative="0">
      <w:start w:val="1"/>
      <w:numFmt w:val="decimal"/>
      <w:suff w:val="nothing"/>
      <w:lvlText w:val="%1）"/>
      <w:lvlJc w:val="left"/>
    </w:lvl>
  </w:abstractNum>
  <w:abstractNum w:abstractNumId="4">
    <w:nsid w:val="D2264F01"/>
    <w:multiLevelType w:val="singleLevel"/>
    <w:tmpl w:val="D2264F01"/>
    <w:lvl w:ilvl="0" w:tentative="0">
      <w:start w:val="1"/>
      <w:numFmt w:val="decimal"/>
      <w:suff w:val="nothing"/>
      <w:lvlText w:val="%1）"/>
      <w:lvlJc w:val="left"/>
    </w:lvl>
  </w:abstractNum>
  <w:abstractNum w:abstractNumId="5">
    <w:nsid w:val="D9C44EA4"/>
    <w:multiLevelType w:val="singleLevel"/>
    <w:tmpl w:val="D9C44EA4"/>
    <w:lvl w:ilvl="0" w:tentative="0">
      <w:start w:val="1"/>
      <w:numFmt w:val="decimal"/>
      <w:suff w:val="nothing"/>
      <w:lvlText w:val="%1）"/>
      <w:lvlJc w:val="left"/>
    </w:lvl>
  </w:abstractNum>
  <w:abstractNum w:abstractNumId="6">
    <w:nsid w:val="E6A22C77"/>
    <w:multiLevelType w:val="singleLevel"/>
    <w:tmpl w:val="E6A22C77"/>
    <w:lvl w:ilvl="0" w:tentative="0">
      <w:start w:val="1"/>
      <w:numFmt w:val="decimal"/>
      <w:suff w:val="nothing"/>
      <w:lvlText w:val="%1）"/>
      <w:lvlJc w:val="left"/>
    </w:lvl>
  </w:abstractNum>
  <w:abstractNum w:abstractNumId="7">
    <w:nsid w:val="F3A50FCC"/>
    <w:multiLevelType w:val="singleLevel"/>
    <w:tmpl w:val="F3A50FCC"/>
    <w:lvl w:ilvl="0" w:tentative="0">
      <w:start w:val="1"/>
      <w:numFmt w:val="decimal"/>
      <w:suff w:val="nothing"/>
      <w:lvlText w:val="%1）"/>
      <w:lvlJc w:val="left"/>
    </w:lvl>
  </w:abstractNum>
  <w:abstractNum w:abstractNumId="8">
    <w:nsid w:val="0812BE50"/>
    <w:multiLevelType w:val="singleLevel"/>
    <w:tmpl w:val="0812BE50"/>
    <w:lvl w:ilvl="0" w:tentative="0">
      <w:start w:val="2"/>
      <w:numFmt w:val="decimal"/>
      <w:suff w:val="nothing"/>
      <w:lvlText w:val="%1）"/>
      <w:lvlJc w:val="left"/>
    </w:lvl>
  </w:abstractNum>
  <w:abstractNum w:abstractNumId="9">
    <w:nsid w:val="0FADA4D9"/>
    <w:multiLevelType w:val="singleLevel"/>
    <w:tmpl w:val="0FADA4D9"/>
    <w:lvl w:ilvl="0" w:tentative="0">
      <w:start w:val="1"/>
      <w:numFmt w:val="decimal"/>
      <w:lvlText w:val="%1."/>
      <w:lvlJc w:val="left"/>
      <w:pPr>
        <w:tabs>
          <w:tab w:val="left" w:pos="312"/>
        </w:tabs>
      </w:pPr>
    </w:lvl>
  </w:abstractNum>
  <w:abstractNum w:abstractNumId="10">
    <w:nsid w:val="4C155541"/>
    <w:multiLevelType w:val="singleLevel"/>
    <w:tmpl w:val="4C155541"/>
    <w:lvl w:ilvl="0" w:tentative="0">
      <w:start w:val="1"/>
      <w:numFmt w:val="decimal"/>
      <w:suff w:val="nothing"/>
      <w:lvlText w:val="%1）"/>
      <w:lvlJc w:val="left"/>
    </w:lvl>
  </w:abstractNum>
  <w:abstractNum w:abstractNumId="11">
    <w:nsid w:val="6DE4B966"/>
    <w:multiLevelType w:val="singleLevel"/>
    <w:tmpl w:val="6DE4B966"/>
    <w:lvl w:ilvl="0" w:tentative="0">
      <w:start w:val="1"/>
      <w:numFmt w:val="decimal"/>
      <w:suff w:val="nothing"/>
      <w:lvlText w:val="%1）"/>
      <w:lvlJc w:val="left"/>
    </w:lvl>
  </w:abstractNum>
  <w:num w:numId="1">
    <w:abstractNumId w:val="9"/>
  </w:num>
  <w:num w:numId="2">
    <w:abstractNumId w:val="8"/>
  </w:num>
  <w:num w:numId="3">
    <w:abstractNumId w:val="0"/>
  </w:num>
  <w:num w:numId="4">
    <w:abstractNumId w:val="10"/>
  </w:num>
  <w:num w:numId="5">
    <w:abstractNumId w:val="11"/>
  </w:num>
  <w:num w:numId="6">
    <w:abstractNumId w:val="7"/>
  </w:num>
  <w:num w:numId="7">
    <w:abstractNumId w:val="5"/>
  </w:num>
  <w:num w:numId="8">
    <w:abstractNumId w:val="2"/>
  </w:num>
  <w:num w:numId="9">
    <w:abstractNumId w:val="4"/>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110DE"/>
    <w:rsid w:val="04D910DA"/>
    <w:rsid w:val="057F26B0"/>
    <w:rsid w:val="0692287A"/>
    <w:rsid w:val="09CF0F13"/>
    <w:rsid w:val="0F9C3272"/>
    <w:rsid w:val="11922EA0"/>
    <w:rsid w:val="13264D1C"/>
    <w:rsid w:val="150E2A2D"/>
    <w:rsid w:val="156A579B"/>
    <w:rsid w:val="18452071"/>
    <w:rsid w:val="1B4E3A35"/>
    <w:rsid w:val="1CB27F5B"/>
    <w:rsid w:val="222C3BCC"/>
    <w:rsid w:val="24545CB0"/>
    <w:rsid w:val="24B6784B"/>
    <w:rsid w:val="2A812AAD"/>
    <w:rsid w:val="2A954E42"/>
    <w:rsid w:val="2EE22433"/>
    <w:rsid w:val="309618D2"/>
    <w:rsid w:val="32BB6BDF"/>
    <w:rsid w:val="36266181"/>
    <w:rsid w:val="3C284044"/>
    <w:rsid w:val="3DDC5860"/>
    <w:rsid w:val="41164B5E"/>
    <w:rsid w:val="41D50B32"/>
    <w:rsid w:val="450B1560"/>
    <w:rsid w:val="4A3D16C3"/>
    <w:rsid w:val="52197E7D"/>
    <w:rsid w:val="530541F2"/>
    <w:rsid w:val="53EC4E15"/>
    <w:rsid w:val="55FC4E16"/>
    <w:rsid w:val="56396A53"/>
    <w:rsid w:val="564F3DB6"/>
    <w:rsid w:val="56CD4A7B"/>
    <w:rsid w:val="57203F60"/>
    <w:rsid w:val="58BF4D65"/>
    <w:rsid w:val="59AD7F39"/>
    <w:rsid w:val="5C4A3DFE"/>
    <w:rsid w:val="5CBD1D28"/>
    <w:rsid w:val="5D9E58EE"/>
    <w:rsid w:val="5EC5567D"/>
    <w:rsid w:val="61222497"/>
    <w:rsid w:val="62082CEF"/>
    <w:rsid w:val="681D1DF3"/>
    <w:rsid w:val="6CFB6DED"/>
    <w:rsid w:val="6D251930"/>
    <w:rsid w:val="6DDE724C"/>
    <w:rsid w:val="6E8D0C5E"/>
    <w:rsid w:val="6FCD6312"/>
    <w:rsid w:val="77026516"/>
    <w:rsid w:val="787C6F9F"/>
    <w:rsid w:val="7CAA4E51"/>
    <w:rsid w:val="7D330636"/>
    <w:rsid w:val="7F59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2021-10-08T08:37:00Z</dcterms:created>
  <dc:creator>迪</dc:creator>
  <cp:lastModifiedBy>迪</cp:lastModifiedBy>
  <dcterms:modified xsi:type="dcterms:W3CDTF">2021-10-09T07:34:01Z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6677D667253649D3B65065CDB0F52923</vt:lpwstr>
  </property>
</Properties>
</file>