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监控中心网站后台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生态环境部污染源监控中心网站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后台</w:t>
            </w:r>
            <w:r>
              <w:rPr>
                <w:rFonts w:ascii="宋体" w:hAnsi="宋体" w:eastAsia="宋体" w:cs="宋体"/>
                <w:sz w:val="24"/>
                <w:szCs w:val="24"/>
              </w:rPr>
              <w:t>中“各省动态”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子</w:t>
            </w:r>
            <w:r>
              <w:rPr>
                <w:rFonts w:ascii="宋体" w:hAnsi="宋体" w:eastAsia="宋体" w:cs="宋体"/>
                <w:sz w:val="24"/>
                <w:szCs w:val="24"/>
              </w:rPr>
              <w:t>栏目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制度、打假、其他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添加详情中新增“省份”选择项。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已提任务单望研发处理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bookmarkStart w:id="3" w:name="_GoBack"/>
            <w:r>
              <w:drawing>
                <wp:inline distT="0" distB="0" distL="114300" distR="114300">
                  <wp:extent cx="4674235" cy="3387090"/>
                  <wp:effectExtent l="0" t="0" r="12065" b="381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235" cy="338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33A93DB1"/>
    <w:rsid w:val="4BC9491E"/>
    <w:rsid w:val="502554F5"/>
    <w:rsid w:val="5B4121A5"/>
    <w:rsid w:val="71A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2020-03-23T05:28:02Z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