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80FEF" w14:textId="77777777" w:rsidR="000F01BC" w:rsidRDefault="000F01BC" w:rsidP="000F01B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数据资源目录清单编制规范</w:t>
      </w:r>
    </w:p>
    <w:p w14:paraId="199821A3" w14:textId="77777777" w:rsidR="000F01BC" w:rsidRDefault="000F01BC" w:rsidP="000F01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w:t>
      </w:r>
      <w:r>
        <w:rPr>
          <w:rFonts w:ascii="仿宋_GB2312" w:eastAsia="仿宋_GB2312" w:hAnsi="仿宋_GB2312" w:cs="仿宋_GB2312"/>
          <w:sz w:val="32"/>
          <w:szCs w:val="32"/>
        </w:rPr>
        <w:t>清</w:t>
      </w:r>
      <w:r>
        <w:rPr>
          <w:rFonts w:ascii="仿宋_GB2312" w:eastAsia="仿宋_GB2312" w:hAnsi="仿宋_GB2312" w:cs="仿宋_GB2312" w:hint="eastAsia"/>
          <w:sz w:val="32"/>
          <w:szCs w:val="32"/>
        </w:rPr>
        <w:t>单</w:t>
      </w:r>
      <w:proofErr w:type="gramStart"/>
      <w:r>
        <w:rPr>
          <w:rFonts w:ascii="仿宋_GB2312" w:eastAsia="仿宋_GB2312" w:hAnsi="仿宋_GB2312" w:cs="仿宋_GB2312" w:hint="eastAsia"/>
          <w:sz w:val="32"/>
          <w:szCs w:val="32"/>
        </w:rPr>
        <w:t>样表规范</w:t>
      </w:r>
      <w:proofErr w:type="gramEnd"/>
      <w:r>
        <w:rPr>
          <w:rFonts w:ascii="仿宋_GB2312" w:eastAsia="仿宋_GB2312" w:hAnsi="仿宋_GB2312" w:cs="仿宋_GB2312" w:hint="eastAsia"/>
          <w:sz w:val="32"/>
          <w:szCs w:val="32"/>
        </w:rPr>
        <w:t>列出本</w:t>
      </w:r>
      <w:r>
        <w:rPr>
          <w:rFonts w:ascii="Times New Roman" w:eastAsia="仿宋_GB2312" w:hAnsi="Times New Roman" w:cs="Times New Roman"/>
          <w:sz w:val="32"/>
          <w:szCs w:val="32"/>
        </w:rPr>
        <w:t>系统生产的</w:t>
      </w:r>
      <w:r>
        <w:rPr>
          <w:rFonts w:ascii="仿宋_GB2312" w:eastAsia="仿宋_GB2312" w:hAnsi="仿宋_GB2312" w:cs="仿宋_GB2312" w:hint="eastAsia"/>
          <w:sz w:val="32"/>
          <w:szCs w:val="32"/>
        </w:rPr>
        <w:t>所有业务数据资源，并标明是否予以共享、是否已编目并挂接数据。不可共享的数据资源，须提供相应法律法规依据和政策理由。</w:t>
      </w:r>
      <w:proofErr w:type="gramStart"/>
      <w:r>
        <w:rPr>
          <w:rFonts w:ascii="仿宋_GB2312" w:eastAsia="仿宋_GB2312" w:hAnsi="仿宋_GB2312" w:cs="仿宋_GB2312" w:hint="eastAsia"/>
          <w:sz w:val="32"/>
          <w:szCs w:val="32"/>
        </w:rPr>
        <w:t>清单样表如下</w:t>
      </w:r>
      <w:proofErr w:type="gramEnd"/>
      <w:r>
        <w:rPr>
          <w:rFonts w:ascii="仿宋_GB2312" w:eastAsia="仿宋_GB2312" w:hAnsi="仿宋_GB2312" w:cs="仿宋_GB2312" w:hint="eastAsia"/>
          <w:sz w:val="32"/>
          <w:szCs w:val="32"/>
        </w:rPr>
        <w:t>：</w:t>
      </w:r>
    </w:p>
    <w:p w14:paraId="7C4F2D92" w14:textId="77777777" w:rsidR="000F01BC" w:rsidRDefault="000F01BC" w:rsidP="000F01BC">
      <w:pPr>
        <w:pStyle w:val="a7"/>
        <w:keepNext/>
        <w:spacing w:beforeLines="50" w:before="156" w:line="360" w:lineRule="auto"/>
        <w:jc w:val="center"/>
        <w:rPr>
          <w:rFonts w:ascii="Times New Roman" w:eastAsia="宋体" w:hAnsi="Times New Roman" w:cs="Times New Roman"/>
          <w:b/>
          <w:bCs/>
          <w:sz w:val="24"/>
        </w:rPr>
      </w:pPr>
      <w:proofErr w:type="gramStart"/>
      <w:r>
        <w:rPr>
          <w:rFonts w:ascii="Times New Roman" w:eastAsia="宋体" w:hAnsi="Times New Roman" w:cs="Times New Roman"/>
          <w:b/>
          <w:bCs/>
          <w:sz w:val="24"/>
        </w:rPr>
        <w:t>样表</w:t>
      </w:r>
      <w:proofErr w:type="gramEnd"/>
      <w:r>
        <w:rPr>
          <w:rFonts w:ascii="Times New Roman" w:eastAsia="宋体" w:hAnsi="Times New Roman" w:cs="Times New Roman"/>
          <w:b/>
          <w:bCs/>
          <w:sz w:val="24"/>
        </w:rPr>
        <w:t xml:space="preserve"> </w:t>
      </w:r>
      <w:r>
        <w:rPr>
          <w:rFonts w:ascii="Times New Roman" w:eastAsia="宋体" w:hAnsi="Times New Roman" w:cs="Times New Roman"/>
          <w:b/>
          <w:bCs/>
          <w:sz w:val="24"/>
        </w:rPr>
        <w:fldChar w:fldCharType="begin"/>
      </w:r>
      <w:r>
        <w:rPr>
          <w:rFonts w:ascii="Times New Roman" w:eastAsia="宋体" w:hAnsi="Times New Roman" w:cs="Times New Roman"/>
          <w:b/>
          <w:bCs/>
          <w:sz w:val="24"/>
        </w:rPr>
        <w:instrText xml:space="preserve"> SEQ </w:instrText>
      </w:r>
      <w:r>
        <w:rPr>
          <w:rFonts w:ascii="Times New Roman" w:eastAsia="宋体" w:hAnsi="Times New Roman" w:cs="Times New Roman"/>
          <w:b/>
          <w:bCs/>
          <w:sz w:val="24"/>
        </w:rPr>
        <w:instrText>样表</w:instrText>
      </w:r>
      <w:r>
        <w:rPr>
          <w:rFonts w:ascii="Times New Roman" w:eastAsia="宋体" w:hAnsi="Times New Roman" w:cs="Times New Roman"/>
          <w:b/>
          <w:bCs/>
          <w:sz w:val="24"/>
        </w:rPr>
        <w:instrText xml:space="preserve"> \* ARABIC </w:instrText>
      </w:r>
      <w:r>
        <w:rPr>
          <w:rFonts w:ascii="Times New Roman" w:eastAsia="宋体" w:hAnsi="Times New Roman" w:cs="Times New Roman"/>
          <w:b/>
          <w:bCs/>
          <w:sz w:val="24"/>
        </w:rPr>
        <w:fldChar w:fldCharType="separate"/>
      </w:r>
      <w:r>
        <w:rPr>
          <w:rFonts w:ascii="Times New Roman" w:eastAsia="宋体" w:hAnsi="Times New Roman" w:cs="Times New Roman"/>
          <w:b/>
          <w:bCs/>
          <w:sz w:val="24"/>
        </w:rPr>
        <w:t>2</w:t>
      </w:r>
      <w:r>
        <w:rPr>
          <w:rFonts w:ascii="Times New Roman" w:eastAsia="宋体" w:hAnsi="Times New Roman" w:cs="Times New Roman"/>
          <w:b/>
          <w:bCs/>
          <w:sz w:val="24"/>
        </w:rPr>
        <w:fldChar w:fldCharType="end"/>
      </w:r>
      <w:r>
        <w:rPr>
          <w:rFonts w:ascii="Times New Roman" w:eastAsia="宋体" w:hAnsi="Times New Roman" w:cs="Times New Roman"/>
          <w:b/>
          <w:bCs/>
          <w:sz w:val="24"/>
        </w:rPr>
        <w:t xml:space="preserve"> </w:t>
      </w:r>
      <w:r>
        <w:rPr>
          <w:rFonts w:ascii="Times New Roman" w:eastAsia="宋体" w:hAnsi="Times New Roman" w:cs="Times New Roman"/>
          <w:b/>
          <w:bCs/>
          <w:sz w:val="24"/>
        </w:rPr>
        <w:t>数据资源目录清单</w:t>
      </w:r>
      <w:bookmarkStart w:id="0" w:name="_GoBack"/>
      <w:bookmarkEnd w:id="0"/>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910"/>
        <w:gridCol w:w="1054"/>
        <w:gridCol w:w="917"/>
        <w:gridCol w:w="1552"/>
        <w:gridCol w:w="893"/>
        <w:gridCol w:w="691"/>
        <w:gridCol w:w="758"/>
        <w:gridCol w:w="911"/>
        <w:gridCol w:w="1685"/>
      </w:tblGrid>
      <w:tr w:rsidR="000F01BC" w14:paraId="3E892125" w14:textId="77777777" w:rsidTr="000834F6">
        <w:trPr>
          <w:trHeight w:val="1179"/>
          <w:tblHeader/>
          <w:jc w:val="center"/>
        </w:trPr>
        <w:tc>
          <w:tcPr>
            <w:tcW w:w="458" w:type="dxa"/>
            <w:tcBorders>
              <w:tl2br w:val="nil"/>
              <w:tr2bl w:val="nil"/>
            </w:tcBorders>
            <w:shd w:val="clear" w:color="000000" w:fill="F2F2F2" w:themeFill="background1" w:themeFillShade="F2"/>
            <w:vAlign w:val="center"/>
          </w:tcPr>
          <w:p w14:paraId="0494458F" w14:textId="77777777" w:rsidR="000F01BC" w:rsidRDefault="000F01BC" w:rsidP="000834F6">
            <w:pPr>
              <w:widowControl/>
              <w:spacing w:line="240" w:lineRule="exact"/>
              <w:jc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序号</w:t>
            </w:r>
          </w:p>
        </w:tc>
        <w:tc>
          <w:tcPr>
            <w:tcW w:w="910" w:type="dxa"/>
            <w:tcBorders>
              <w:tl2br w:val="nil"/>
              <w:tr2bl w:val="nil"/>
            </w:tcBorders>
            <w:shd w:val="clear" w:color="000000" w:fill="F2F2F2" w:themeFill="background1" w:themeFillShade="F2"/>
            <w:vAlign w:val="center"/>
          </w:tcPr>
          <w:p w14:paraId="473D3AD1" w14:textId="77777777" w:rsidR="000F01BC" w:rsidRDefault="000F01BC" w:rsidP="000834F6">
            <w:pPr>
              <w:widowControl/>
              <w:spacing w:line="240" w:lineRule="exact"/>
              <w:jc w:val="center"/>
            </w:pPr>
            <w:r>
              <w:rPr>
                <w:rFonts w:ascii="Times New Roman" w:hAnsi="Times New Roman" w:cs="Times New Roman" w:hint="eastAsia"/>
                <w:b/>
                <w:bCs/>
                <w:color w:val="000000"/>
                <w:kern w:val="0"/>
                <w:szCs w:val="21"/>
              </w:rPr>
              <w:t>该数据类的生产业务系统</w:t>
            </w:r>
          </w:p>
        </w:tc>
        <w:tc>
          <w:tcPr>
            <w:tcW w:w="1054" w:type="dxa"/>
            <w:tcBorders>
              <w:tl2br w:val="nil"/>
              <w:tr2bl w:val="nil"/>
            </w:tcBorders>
            <w:shd w:val="clear" w:color="000000" w:fill="F2F2F2" w:themeFill="background1" w:themeFillShade="F2"/>
            <w:vAlign w:val="center"/>
          </w:tcPr>
          <w:p w14:paraId="130642CA" w14:textId="77777777" w:rsidR="000F01BC" w:rsidRDefault="000F01BC" w:rsidP="000834F6">
            <w:pPr>
              <w:widowControl/>
              <w:spacing w:line="24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表名</w:t>
            </w:r>
          </w:p>
        </w:tc>
        <w:tc>
          <w:tcPr>
            <w:tcW w:w="917" w:type="dxa"/>
            <w:tcBorders>
              <w:tl2br w:val="nil"/>
              <w:tr2bl w:val="nil"/>
            </w:tcBorders>
            <w:shd w:val="clear" w:color="000000" w:fill="F2F2F2" w:themeFill="background1" w:themeFillShade="F2"/>
            <w:vAlign w:val="center"/>
          </w:tcPr>
          <w:p w14:paraId="723CF135" w14:textId="77777777" w:rsidR="000F01BC" w:rsidRDefault="000F01BC" w:rsidP="000834F6">
            <w:pPr>
              <w:widowControl/>
              <w:spacing w:line="240" w:lineRule="exact"/>
              <w:jc w:val="center"/>
              <w:rPr>
                <w:rFonts w:ascii="Times New Roman" w:eastAsia="等线" w:hAnsi="Times New Roman" w:cs="Times New Roman"/>
                <w:b/>
                <w:bCs/>
                <w:color w:val="000000"/>
                <w:kern w:val="0"/>
                <w:szCs w:val="21"/>
              </w:rPr>
            </w:pPr>
            <w:r>
              <w:rPr>
                <w:rFonts w:ascii="Times New Roman" w:eastAsia="等线" w:hAnsi="Times New Roman" w:cs="Times New Roman" w:hint="eastAsia"/>
                <w:b/>
                <w:bCs/>
                <w:color w:val="000000"/>
                <w:kern w:val="0"/>
                <w:szCs w:val="21"/>
              </w:rPr>
              <w:t>数据类名称</w:t>
            </w:r>
          </w:p>
        </w:tc>
        <w:tc>
          <w:tcPr>
            <w:tcW w:w="1552" w:type="dxa"/>
            <w:tcBorders>
              <w:tl2br w:val="nil"/>
              <w:tr2bl w:val="nil"/>
            </w:tcBorders>
            <w:shd w:val="clear" w:color="000000" w:fill="F2F2F2" w:themeFill="background1" w:themeFillShade="F2"/>
            <w:vAlign w:val="center"/>
          </w:tcPr>
          <w:p w14:paraId="26FE7671" w14:textId="77777777" w:rsidR="000F01BC" w:rsidRDefault="000F01BC" w:rsidP="000834F6">
            <w:pPr>
              <w:widowControl/>
              <w:spacing w:line="240" w:lineRule="exact"/>
              <w:jc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包含的数据项</w:t>
            </w:r>
          </w:p>
        </w:tc>
        <w:tc>
          <w:tcPr>
            <w:tcW w:w="893" w:type="dxa"/>
            <w:tcBorders>
              <w:tl2br w:val="nil"/>
              <w:tr2bl w:val="nil"/>
            </w:tcBorders>
            <w:shd w:val="clear" w:color="000000" w:fill="F2F2F2" w:themeFill="background1" w:themeFillShade="F2"/>
            <w:vAlign w:val="center"/>
          </w:tcPr>
          <w:p w14:paraId="0B128E04" w14:textId="77777777" w:rsidR="000F01BC" w:rsidRDefault="000F01BC" w:rsidP="000834F6">
            <w:pPr>
              <w:widowControl/>
              <w:spacing w:line="240" w:lineRule="exact"/>
              <w:jc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是否可以共享</w:t>
            </w:r>
          </w:p>
        </w:tc>
        <w:tc>
          <w:tcPr>
            <w:tcW w:w="691" w:type="dxa"/>
            <w:tcBorders>
              <w:tl2br w:val="nil"/>
              <w:tr2bl w:val="nil"/>
            </w:tcBorders>
            <w:shd w:val="clear" w:color="000000" w:fill="F2F2F2" w:themeFill="background1" w:themeFillShade="F2"/>
            <w:vAlign w:val="center"/>
          </w:tcPr>
          <w:p w14:paraId="61DEF56F" w14:textId="77777777" w:rsidR="000F01BC" w:rsidRDefault="000F01BC" w:rsidP="000834F6">
            <w:pPr>
              <w:widowControl/>
              <w:spacing w:line="240" w:lineRule="exact"/>
              <w:jc w:val="center"/>
            </w:pPr>
            <w:r>
              <w:rPr>
                <w:rFonts w:ascii="Times New Roman" w:eastAsia="等线" w:hAnsi="Times New Roman" w:cs="Times New Roman" w:hint="eastAsia"/>
                <w:b/>
                <w:bCs/>
                <w:color w:val="000000"/>
                <w:kern w:val="0"/>
                <w:szCs w:val="21"/>
              </w:rPr>
              <w:t>更新周期</w:t>
            </w:r>
          </w:p>
        </w:tc>
        <w:tc>
          <w:tcPr>
            <w:tcW w:w="758" w:type="dxa"/>
            <w:tcBorders>
              <w:tl2br w:val="nil"/>
              <w:tr2bl w:val="nil"/>
            </w:tcBorders>
            <w:shd w:val="clear" w:color="000000" w:fill="F2F2F2" w:themeFill="background1" w:themeFillShade="F2"/>
            <w:vAlign w:val="center"/>
          </w:tcPr>
          <w:p w14:paraId="417A9631" w14:textId="77777777" w:rsidR="000F01BC" w:rsidRDefault="000F01BC" w:rsidP="000834F6">
            <w:pPr>
              <w:widowControl/>
              <w:spacing w:line="240" w:lineRule="exact"/>
              <w:jc w:val="center"/>
              <w:rPr>
                <w:rFonts w:ascii="Times New Roman" w:eastAsia="等线" w:hAnsi="Times New Roman" w:cs="Times New Roman"/>
                <w:b/>
                <w:bCs/>
                <w:color w:val="000000"/>
                <w:kern w:val="0"/>
                <w:szCs w:val="21"/>
              </w:rPr>
            </w:pPr>
            <w:r>
              <w:rPr>
                <w:rFonts w:ascii="Times New Roman" w:eastAsia="等线" w:hAnsi="Times New Roman" w:cs="Times New Roman" w:hint="eastAsia"/>
                <w:b/>
                <w:bCs/>
                <w:color w:val="000000"/>
                <w:kern w:val="0"/>
                <w:szCs w:val="21"/>
              </w:rPr>
              <w:t>数据类型</w:t>
            </w:r>
          </w:p>
        </w:tc>
        <w:tc>
          <w:tcPr>
            <w:tcW w:w="911" w:type="dxa"/>
            <w:tcBorders>
              <w:tl2br w:val="nil"/>
              <w:tr2bl w:val="nil"/>
            </w:tcBorders>
            <w:shd w:val="clear" w:color="000000" w:fill="F2F2F2" w:themeFill="background1" w:themeFillShade="F2"/>
            <w:vAlign w:val="center"/>
          </w:tcPr>
          <w:p w14:paraId="16E09ABD" w14:textId="77777777" w:rsidR="000F01BC" w:rsidRDefault="000F01BC" w:rsidP="000834F6">
            <w:pPr>
              <w:widowControl/>
              <w:spacing w:line="240" w:lineRule="exact"/>
              <w:jc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是否</w:t>
            </w:r>
            <w:r>
              <w:rPr>
                <w:rFonts w:ascii="Times New Roman" w:eastAsia="等线" w:hAnsi="Times New Roman" w:cs="Times New Roman" w:hint="eastAsia"/>
                <w:b/>
                <w:bCs/>
                <w:color w:val="000000"/>
                <w:kern w:val="0"/>
                <w:szCs w:val="21"/>
              </w:rPr>
              <w:t>已</w:t>
            </w:r>
            <w:r>
              <w:rPr>
                <w:rFonts w:ascii="Times New Roman" w:eastAsia="等线" w:hAnsi="Times New Roman" w:cs="Times New Roman"/>
                <w:b/>
                <w:bCs/>
                <w:color w:val="000000"/>
                <w:kern w:val="0"/>
                <w:szCs w:val="21"/>
              </w:rPr>
              <w:t>编目</w:t>
            </w:r>
            <w:r>
              <w:rPr>
                <w:rFonts w:ascii="Times New Roman" w:eastAsia="等线" w:hAnsi="Times New Roman" w:cs="Times New Roman" w:hint="eastAsia"/>
                <w:b/>
                <w:bCs/>
                <w:color w:val="000000"/>
                <w:kern w:val="0"/>
                <w:szCs w:val="21"/>
              </w:rPr>
              <w:t>、</w:t>
            </w:r>
            <w:r>
              <w:rPr>
                <w:rFonts w:ascii="Times New Roman" w:eastAsia="等线" w:hAnsi="Times New Roman" w:cs="Times New Roman"/>
                <w:b/>
                <w:bCs/>
                <w:color w:val="000000"/>
                <w:kern w:val="0"/>
                <w:szCs w:val="21"/>
              </w:rPr>
              <w:t>挂接</w:t>
            </w:r>
          </w:p>
        </w:tc>
        <w:tc>
          <w:tcPr>
            <w:tcW w:w="1685" w:type="dxa"/>
            <w:tcBorders>
              <w:tl2br w:val="nil"/>
              <w:tr2bl w:val="nil"/>
            </w:tcBorders>
            <w:shd w:val="clear" w:color="000000" w:fill="F2F2F2" w:themeFill="background1" w:themeFillShade="F2"/>
            <w:vAlign w:val="center"/>
          </w:tcPr>
          <w:p w14:paraId="419CFC55" w14:textId="77777777" w:rsidR="000F01BC" w:rsidRDefault="000F01BC" w:rsidP="000834F6">
            <w:pPr>
              <w:widowControl/>
              <w:spacing w:line="240" w:lineRule="exact"/>
              <w:jc w:val="center"/>
              <w:rPr>
                <w:rFonts w:ascii="Times New Roman" w:eastAsia="等线" w:hAnsi="Times New Roman" w:cs="Times New Roman"/>
                <w:b/>
                <w:bCs/>
                <w:color w:val="000000"/>
                <w:kern w:val="0"/>
                <w:szCs w:val="21"/>
              </w:rPr>
            </w:pPr>
            <w:r>
              <w:rPr>
                <w:rFonts w:ascii="Times New Roman" w:eastAsia="等线" w:hAnsi="Times New Roman" w:cs="Times New Roman"/>
                <w:b/>
                <w:bCs/>
                <w:color w:val="000000"/>
                <w:kern w:val="0"/>
                <w:szCs w:val="21"/>
              </w:rPr>
              <w:t>备注（</w:t>
            </w:r>
            <w:proofErr w:type="gramStart"/>
            <w:r>
              <w:rPr>
                <w:rFonts w:ascii="Times New Roman" w:eastAsia="等线" w:hAnsi="Times New Roman" w:cs="Times New Roman"/>
                <w:b/>
                <w:bCs/>
                <w:color w:val="000000"/>
                <w:kern w:val="0"/>
                <w:szCs w:val="21"/>
              </w:rPr>
              <w:t>不</w:t>
            </w:r>
            <w:proofErr w:type="gramEnd"/>
            <w:r>
              <w:rPr>
                <w:rFonts w:ascii="Times New Roman" w:eastAsia="等线" w:hAnsi="Times New Roman" w:cs="Times New Roman"/>
                <w:b/>
                <w:bCs/>
                <w:color w:val="000000"/>
                <w:kern w:val="0"/>
                <w:szCs w:val="21"/>
              </w:rPr>
              <w:t>共享的法律法规依据和政策理由）</w:t>
            </w:r>
          </w:p>
        </w:tc>
      </w:tr>
      <w:tr w:rsidR="000F01BC" w14:paraId="5704E810" w14:textId="77777777" w:rsidTr="000834F6">
        <w:trPr>
          <w:trHeight w:val="552"/>
          <w:jc w:val="center"/>
        </w:trPr>
        <w:tc>
          <w:tcPr>
            <w:tcW w:w="458" w:type="dxa"/>
            <w:tcBorders>
              <w:tl2br w:val="nil"/>
              <w:tr2bl w:val="nil"/>
            </w:tcBorders>
            <w:vAlign w:val="center"/>
          </w:tcPr>
          <w:p w14:paraId="2DC9613C"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w:t>
            </w:r>
          </w:p>
        </w:tc>
        <w:tc>
          <w:tcPr>
            <w:tcW w:w="910" w:type="dxa"/>
            <w:tcBorders>
              <w:tl2br w:val="nil"/>
              <w:tr2bl w:val="nil"/>
            </w:tcBorders>
            <w:vAlign w:val="center"/>
          </w:tcPr>
          <w:p w14:paraId="21A3F7A4" w14:textId="77777777" w:rsidR="000F01BC" w:rsidRDefault="000F01BC" w:rsidP="000834F6">
            <w:pPr>
              <w:widowControl/>
              <w:spacing w:line="240" w:lineRule="exact"/>
              <w:jc w:val="center"/>
            </w:pPr>
            <w:r>
              <w:rPr>
                <w:rFonts w:ascii="Times New Roman" w:hAnsi="Times New Roman" w:cs="Times New Roman" w:hint="eastAsia"/>
                <w:color w:val="000000"/>
                <w:kern w:val="0"/>
                <w:szCs w:val="21"/>
                <w:lang w:bidi="ar"/>
              </w:rPr>
              <w:t>工商登记系统</w:t>
            </w:r>
          </w:p>
        </w:tc>
        <w:tc>
          <w:tcPr>
            <w:tcW w:w="1054" w:type="dxa"/>
            <w:tcBorders>
              <w:tl2br w:val="nil"/>
              <w:tr2bl w:val="nil"/>
            </w:tcBorders>
            <w:vAlign w:val="center"/>
          </w:tcPr>
          <w:p w14:paraId="2A6014F0"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LS_BASE_ENTERPRISE</w:t>
            </w:r>
          </w:p>
        </w:tc>
        <w:tc>
          <w:tcPr>
            <w:tcW w:w="917" w:type="dxa"/>
            <w:tcBorders>
              <w:tl2br w:val="nil"/>
              <w:tr2bl w:val="nil"/>
            </w:tcBorders>
            <w:vAlign w:val="center"/>
          </w:tcPr>
          <w:p w14:paraId="4310042B"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全省</w:t>
            </w:r>
            <w:r>
              <w:rPr>
                <w:rFonts w:ascii="Times New Roman" w:eastAsia="宋体" w:hAnsi="Times New Roman" w:cs="Times New Roman"/>
                <w:color w:val="000000"/>
                <w:kern w:val="0"/>
                <w:szCs w:val="21"/>
                <w:lang w:bidi="ar"/>
              </w:rPr>
              <w:t>企业基础信息</w:t>
            </w:r>
          </w:p>
        </w:tc>
        <w:tc>
          <w:tcPr>
            <w:tcW w:w="1552" w:type="dxa"/>
            <w:tcBorders>
              <w:tl2br w:val="nil"/>
              <w:tr2bl w:val="nil"/>
            </w:tcBorders>
            <w:vAlign w:val="center"/>
          </w:tcPr>
          <w:p w14:paraId="587CBC50"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企业名称、社会信用代码、法人名称，</w:t>
            </w:r>
            <w:r>
              <w:rPr>
                <w:rFonts w:ascii="Times New Roman" w:eastAsia="宋体" w:hAnsi="Times New Roman" w:cs="Times New Roman"/>
                <w:color w:val="000000"/>
                <w:kern w:val="0"/>
                <w:szCs w:val="21"/>
                <w:lang w:bidi="ar"/>
              </w:rPr>
              <w:t>....</w:t>
            </w:r>
          </w:p>
        </w:tc>
        <w:tc>
          <w:tcPr>
            <w:tcW w:w="893" w:type="dxa"/>
            <w:tcBorders>
              <w:tl2br w:val="nil"/>
              <w:tr2bl w:val="nil"/>
            </w:tcBorders>
            <w:vAlign w:val="center"/>
          </w:tcPr>
          <w:p w14:paraId="445128F9"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可共享</w:t>
            </w:r>
          </w:p>
        </w:tc>
        <w:tc>
          <w:tcPr>
            <w:tcW w:w="691" w:type="dxa"/>
            <w:tcBorders>
              <w:tl2br w:val="nil"/>
              <w:tr2bl w:val="nil"/>
            </w:tcBorders>
            <w:vAlign w:val="center"/>
          </w:tcPr>
          <w:p w14:paraId="789D9F1C" w14:textId="77777777" w:rsidR="000F01BC" w:rsidRDefault="000F01BC" w:rsidP="000834F6">
            <w:pPr>
              <w:widowControl/>
              <w:spacing w:line="240" w:lineRule="exact"/>
              <w:jc w:val="center"/>
            </w:pPr>
            <w:r>
              <w:rPr>
                <w:rFonts w:ascii="Times New Roman" w:hAnsi="Times New Roman" w:cs="Times New Roman" w:hint="eastAsia"/>
                <w:color w:val="000000"/>
                <w:kern w:val="0"/>
                <w:szCs w:val="21"/>
                <w:lang w:bidi="ar"/>
              </w:rPr>
              <w:t>实时更新</w:t>
            </w:r>
          </w:p>
        </w:tc>
        <w:tc>
          <w:tcPr>
            <w:tcW w:w="758" w:type="dxa"/>
            <w:tcBorders>
              <w:tl2br w:val="nil"/>
              <w:tr2bl w:val="nil"/>
            </w:tcBorders>
            <w:vAlign w:val="center"/>
          </w:tcPr>
          <w:p w14:paraId="51EE0063"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hAnsi="Times New Roman" w:cs="Times New Roman" w:hint="eastAsia"/>
                <w:color w:val="000000"/>
                <w:kern w:val="0"/>
                <w:szCs w:val="21"/>
                <w:lang w:bidi="ar"/>
              </w:rPr>
              <w:t>文本</w:t>
            </w:r>
          </w:p>
        </w:tc>
        <w:tc>
          <w:tcPr>
            <w:tcW w:w="911" w:type="dxa"/>
            <w:tcBorders>
              <w:tl2br w:val="nil"/>
              <w:tr2bl w:val="nil"/>
            </w:tcBorders>
            <w:vAlign w:val="center"/>
          </w:tcPr>
          <w:p w14:paraId="3291C2B0"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已编目、已挂接</w:t>
            </w:r>
          </w:p>
        </w:tc>
        <w:tc>
          <w:tcPr>
            <w:tcW w:w="1685" w:type="dxa"/>
            <w:tcBorders>
              <w:tl2br w:val="nil"/>
              <w:tr2bl w:val="nil"/>
            </w:tcBorders>
            <w:vAlign w:val="center"/>
          </w:tcPr>
          <w:p w14:paraId="1CE6A2EC"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无</w:t>
            </w:r>
          </w:p>
        </w:tc>
      </w:tr>
      <w:tr w:rsidR="000F01BC" w14:paraId="6A0E5668" w14:textId="77777777" w:rsidTr="000834F6">
        <w:trPr>
          <w:trHeight w:val="552"/>
          <w:jc w:val="center"/>
        </w:trPr>
        <w:tc>
          <w:tcPr>
            <w:tcW w:w="458" w:type="dxa"/>
            <w:tcBorders>
              <w:tl2br w:val="nil"/>
              <w:tr2bl w:val="nil"/>
            </w:tcBorders>
            <w:vAlign w:val="center"/>
          </w:tcPr>
          <w:p w14:paraId="72478DB8"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w:t>
            </w:r>
          </w:p>
        </w:tc>
        <w:tc>
          <w:tcPr>
            <w:tcW w:w="910" w:type="dxa"/>
            <w:tcBorders>
              <w:tl2br w:val="nil"/>
              <w:tr2bl w:val="nil"/>
            </w:tcBorders>
            <w:vAlign w:val="center"/>
          </w:tcPr>
          <w:p w14:paraId="3E14B8DD" w14:textId="77777777" w:rsidR="000F01BC" w:rsidRDefault="000F01BC" w:rsidP="000834F6">
            <w:pPr>
              <w:widowControl/>
              <w:spacing w:line="240" w:lineRule="exact"/>
              <w:jc w:val="center"/>
            </w:pPr>
            <w:r>
              <w:rPr>
                <w:rFonts w:ascii="Times New Roman" w:hAnsi="Times New Roman" w:cs="Times New Roman" w:hint="eastAsia"/>
                <w:color w:val="000000"/>
                <w:kern w:val="0"/>
                <w:szCs w:val="21"/>
                <w:lang w:bidi="ar"/>
              </w:rPr>
              <w:t>工商登记系统</w:t>
            </w:r>
          </w:p>
        </w:tc>
        <w:tc>
          <w:tcPr>
            <w:tcW w:w="1054" w:type="dxa"/>
            <w:tcBorders>
              <w:tl2br w:val="nil"/>
              <w:tr2bl w:val="nil"/>
            </w:tcBorders>
            <w:vAlign w:val="center"/>
          </w:tcPr>
          <w:p w14:paraId="3C04DB37"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LS_WAREHOUSE</w:t>
            </w:r>
          </w:p>
        </w:tc>
        <w:tc>
          <w:tcPr>
            <w:tcW w:w="917" w:type="dxa"/>
            <w:tcBorders>
              <w:tl2br w:val="nil"/>
              <w:tr2bl w:val="nil"/>
            </w:tcBorders>
            <w:vAlign w:val="center"/>
          </w:tcPr>
          <w:p w14:paraId="215A9A29"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全省</w:t>
            </w:r>
            <w:r>
              <w:rPr>
                <w:rFonts w:ascii="Times New Roman" w:eastAsia="宋体" w:hAnsi="Times New Roman" w:cs="Times New Roman"/>
                <w:color w:val="000000"/>
                <w:kern w:val="0"/>
                <w:szCs w:val="21"/>
                <w:lang w:bidi="ar"/>
              </w:rPr>
              <w:t>企业库点</w:t>
            </w:r>
          </w:p>
        </w:tc>
        <w:tc>
          <w:tcPr>
            <w:tcW w:w="1552" w:type="dxa"/>
            <w:tcBorders>
              <w:tl2br w:val="nil"/>
              <w:tr2bl w:val="nil"/>
            </w:tcBorders>
            <w:vAlign w:val="center"/>
          </w:tcPr>
          <w:p w14:paraId="2BD8CDD2"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企业名称、具体空间位置，</w:t>
            </w:r>
            <w:r>
              <w:rPr>
                <w:rFonts w:ascii="Times New Roman" w:eastAsia="宋体" w:hAnsi="Times New Roman" w:cs="Times New Roman"/>
                <w:color w:val="000000"/>
                <w:kern w:val="0"/>
                <w:szCs w:val="21"/>
                <w:lang w:bidi="ar"/>
              </w:rPr>
              <w:t>...</w:t>
            </w:r>
          </w:p>
        </w:tc>
        <w:tc>
          <w:tcPr>
            <w:tcW w:w="893" w:type="dxa"/>
            <w:tcBorders>
              <w:tl2br w:val="nil"/>
              <w:tr2bl w:val="nil"/>
            </w:tcBorders>
            <w:vAlign w:val="center"/>
          </w:tcPr>
          <w:p w14:paraId="375CAA3C"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不可共享</w:t>
            </w:r>
          </w:p>
        </w:tc>
        <w:tc>
          <w:tcPr>
            <w:tcW w:w="691" w:type="dxa"/>
            <w:tcBorders>
              <w:tl2br w:val="nil"/>
              <w:tr2bl w:val="nil"/>
            </w:tcBorders>
            <w:vAlign w:val="center"/>
          </w:tcPr>
          <w:p w14:paraId="78FB9B6E" w14:textId="77777777" w:rsidR="000F01BC" w:rsidRDefault="000F01BC" w:rsidP="000834F6">
            <w:pPr>
              <w:widowControl/>
              <w:spacing w:line="240" w:lineRule="exact"/>
              <w:jc w:val="center"/>
            </w:pPr>
            <w:r>
              <w:rPr>
                <w:rFonts w:ascii="Times New Roman" w:hAnsi="Times New Roman" w:cs="Times New Roman" w:hint="eastAsia"/>
                <w:color w:val="000000"/>
                <w:kern w:val="0"/>
                <w:szCs w:val="21"/>
                <w:lang w:bidi="ar"/>
              </w:rPr>
              <w:t>每周更新</w:t>
            </w:r>
          </w:p>
        </w:tc>
        <w:tc>
          <w:tcPr>
            <w:tcW w:w="758" w:type="dxa"/>
            <w:tcBorders>
              <w:tl2br w:val="nil"/>
              <w:tr2bl w:val="nil"/>
            </w:tcBorders>
            <w:vAlign w:val="center"/>
          </w:tcPr>
          <w:p w14:paraId="6786D0C8"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hAnsi="Times New Roman" w:cs="Times New Roman" w:hint="eastAsia"/>
                <w:color w:val="000000"/>
                <w:kern w:val="0"/>
                <w:szCs w:val="21"/>
                <w:lang w:bidi="ar"/>
              </w:rPr>
              <w:t>数字</w:t>
            </w:r>
            <w:r>
              <w:rPr>
                <w:rFonts w:ascii="Times New Roman" w:hAnsi="Times New Roman" w:cs="Times New Roman" w:hint="eastAsia"/>
                <w:color w:val="000000"/>
                <w:kern w:val="0"/>
                <w:szCs w:val="21"/>
                <w:lang w:bidi="ar"/>
              </w:rPr>
              <w:t>/</w:t>
            </w:r>
            <w:r>
              <w:rPr>
                <w:rFonts w:ascii="Times New Roman" w:hAnsi="Times New Roman" w:cs="Times New Roman" w:hint="eastAsia"/>
                <w:color w:val="000000"/>
                <w:kern w:val="0"/>
                <w:szCs w:val="21"/>
                <w:lang w:bidi="ar"/>
              </w:rPr>
              <w:t>图像</w:t>
            </w:r>
          </w:p>
        </w:tc>
        <w:tc>
          <w:tcPr>
            <w:tcW w:w="911" w:type="dxa"/>
            <w:tcBorders>
              <w:tl2br w:val="nil"/>
              <w:tr2bl w:val="nil"/>
            </w:tcBorders>
            <w:vAlign w:val="center"/>
          </w:tcPr>
          <w:p w14:paraId="3A047261"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已编目、未挂接</w:t>
            </w:r>
          </w:p>
        </w:tc>
        <w:tc>
          <w:tcPr>
            <w:tcW w:w="1685" w:type="dxa"/>
            <w:tcBorders>
              <w:tl2br w:val="nil"/>
              <w:tr2bl w:val="nil"/>
            </w:tcBorders>
            <w:vAlign w:val="center"/>
          </w:tcPr>
          <w:p w14:paraId="57A4D864" w14:textId="77777777" w:rsidR="000F01BC" w:rsidRDefault="000F01BC" w:rsidP="000834F6">
            <w:pPr>
              <w:widowControl/>
              <w:spacing w:line="240" w:lineRule="exact"/>
              <w:jc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相应法律法规依据和政策理由</w:t>
            </w:r>
          </w:p>
        </w:tc>
      </w:tr>
    </w:tbl>
    <w:p w14:paraId="4315CB11" w14:textId="77777777" w:rsidR="000F01BC" w:rsidRDefault="000F01BC" w:rsidP="000F01BC">
      <w:r>
        <w:rPr>
          <w:rFonts w:hint="eastAsia"/>
        </w:rPr>
        <w:t>填写说明：</w:t>
      </w:r>
    </w:p>
    <w:p w14:paraId="361C2B9C" w14:textId="77777777" w:rsidR="000F01BC" w:rsidRDefault="000F01BC" w:rsidP="000F01BC">
      <w:pPr>
        <w:spacing w:line="260" w:lineRule="exact"/>
        <w:ind w:firstLineChars="200" w:firstLine="420"/>
      </w:pPr>
      <w:r>
        <w:rPr>
          <w:rFonts w:hint="eastAsia"/>
        </w:rPr>
        <w:t>1.该数据的生产业务系统：目前生产该数据类的业务系统名称，如无系统支撑的写“无”。</w:t>
      </w:r>
    </w:p>
    <w:p w14:paraId="71C1D0BE" w14:textId="77777777" w:rsidR="000F01BC" w:rsidRDefault="000F01BC" w:rsidP="000F01BC">
      <w:pPr>
        <w:spacing w:line="260" w:lineRule="exact"/>
        <w:ind w:firstLineChars="200" w:firstLine="420"/>
      </w:pPr>
      <w:r>
        <w:rPr>
          <w:rFonts w:hint="eastAsia"/>
        </w:rPr>
        <w:t>2.表名称：即该数据类在数据库中的数据表英文名称。</w:t>
      </w:r>
    </w:p>
    <w:p w14:paraId="3371F765" w14:textId="77777777" w:rsidR="000F01BC" w:rsidRDefault="000F01BC" w:rsidP="000F01BC">
      <w:pPr>
        <w:spacing w:line="260" w:lineRule="exact"/>
        <w:ind w:firstLineChars="200" w:firstLine="420"/>
      </w:pPr>
      <w:r>
        <w:rPr>
          <w:rFonts w:hint="eastAsia"/>
        </w:rPr>
        <w:t>3.数据类名称：本部门数据资源目录中涉及的具体数据类别，以业务为核心进行划分，即系统数据库设计文件中定义的数据表的规范化名称。</w:t>
      </w:r>
    </w:p>
    <w:p w14:paraId="362CA699" w14:textId="77777777" w:rsidR="000F01BC" w:rsidRDefault="000F01BC" w:rsidP="000F01BC">
      <w:pPr>
        <w:spacing w:line="260" w:lineRule="exact"/>
        <w:ind w:firstLineChars="200" w:firstLine="420"/>
      </w:pPr>
      <w:r>
        <w:rPr>
          <w:rFonts w:hint="eastAsia"/>
        </w:rPr>
        <w:t>数据类名称命名规范如下：一般数据类命名为：“数据范围”+“数据主体”+“业务（行为）属性”；部分特定数据</w:t>
      </w:r>
      <w:proofErr w:type="gramStart"/>
      <w:r>
        <w:rPr>
          <w:rFonts w:hint="eastAsia"/>
        </w:rPr>
        <w:t>类属于</w:t>
      </w:r>
      <w:proofErr w:type="gramEnd"/>
      <w:r>
        <w:rPr>
          <w:rFonts w:hint="eastAsia"/>
        </w:rPr>
        <w:t>特殊称谓，无法填写数据范围、数据主体的，可根据</w:t>
      </w:r>
      <w:proofErr w:type="gramStart"/>
      <w:r>
        <w:rPr>
          <w:rFonts w:hint="eastAsia"/>
        </w:rPr>
        <w:t>实际情况容缺命名</w:t>
      </w:r>
      <w:proofErr w:type="gramEnd"/>
      <w:r>
        <w:rPr>
          <w:rFonts w:hint="eastAsia"/>
        </w:rPr>
        <w:t>。如：中华人民共和国结婚证、残疾人证书等。具体说明如下：</w:t>
      </w:r>
    </w:p>
    <w:p w14:paraId="6A000B4E" w14:textId="77777777" w:rsidR="000F01BC" w:rsidRDefault="000F01BC" w:rsidP="000F01BC">
      <w:pPr>
        <w:spacing w:line="260" w:lineRule="exact"/>
        <w:ind w:firstLineChars="200" w:firstLine="420"/>
      </w:pPr>
      <w:r>
        <w:rPr>
          <w:rFonts w:hint="eastAsia"/>
        </w:rPr>
        <w:t>（1）“数据范围”指该数据的覆盖范围，即覆盖本单位范围、全省范围或者某个行政区域范围等；</w:t>
      </w:r>
    </w:p>
    <w:p w14:paraId="1EBE935E" w14:textId="77777777" w:rsidR="000F01BC" w:rsidRDefault="000F01BC" w:rsidP="000F01BC">
      <w:pPr>
        <w:spacing w:line="260" w:lineRule="exact"/>
        <w:ind w:firstLineChars="200" w:firstLine="420"/>
      </w:pPr>
      <w:r>
        <w:rPr>
          <w:rFonts w:hint="eastAsia"/>
        </w:rPr>
        <w:t>（2）“数据主体”指该数据涉及的人或物，主要包括公民、法人和其他社会组织，土地、车辆、房屋、道路、商品等事物等；</w:t>
      </w:r>
    </w:p>
    <w:p w14:paraId="1028436F" w14:textId="77777777" w:rsidR="000F01BC" w:rsidRDefault="000F01BC" w:rsidP="000F01BC">
      <w:pPr>
        <w:spacing w:line="260" w:lineRule="exact"/>
        <w:ind w:firstLineChars="200" w:firstLine="420"/>
      </w:pPr>
      <w:r>
        <w:rPr>
          <w:rFonts w:hint="eastAsia"/>
        </w:rPr>
        <w:t>（3）“业务（行为）属性”指该数据涉及的具体业务（行为），描述该数据的业务意义，包括：经济统计业务、市场监管业务、行政审批业务、公共服务业务和环境保护业务，以及部门内部管理业务等。具体业务涉及行政权力清单的，按本部门权力清单规范填写。</w:t>
      </w:r>
    </w:p>
    <w:p w14:paraId="73AFBB55" w14:textId="77777777" w:rsidR="000F01BC" w:rsidRDefault="000F01BC" w:rsidP="000F01BC">
      <w:pPr>
        <w:spacing w:line="260" w:lineRule="exact"/>
        <w:ind w:firstLineChars="200" w:firstLine="420"/>
      </w:pPr>
      <w:r>
        <w:rPr>
          <w:rFonts w:hint="eastAsia"/>
        </w:rPr>
        <w:t>数据类命名</w:t>
      </w:r>
      <w:proofErr w:type="gramStart"/>
      <w:r>
        <w:rPr>
          <w:rFonts w:hint="eastAsia"/>
        </w:rPr>
        <w:t>样例如</w:t>
      </w:r>
      <w:proofErr w:type="gramEnd"/>
      <w:r>
        <w:rPr>
          <w:rFonts w:hint="eastAsia"/>
        </w:rPr>
        <w:t>下：</w:t>
      </w:r>
    </w:p>
    <w:p w14:paraId="37B2AD0E" w14:textId="77777777" w:rsidR="000F01BC" w:rsidRDefault="000F01BC" w:rsidP="000F01BC">
      <w:pPr>
        <w:spacing w:line="260" w:lineRule="exact"/>
        <w:ind w:firstLineChars="200" w:firstLine="420"/>
      </w:pPr>
      <w:r>
        <w:rPr>
          <w:rFonts w:hint="eastAsia"/>
        </w:rPr>
        <w:t>样例1，基础信息：“区域（广东省、某省直部门/某地市）”+“人口、法人、空间地理、电子证照”+“基础信息”。如：广东省全员人口基础信息、广州市社会团体法人登记证书、广东省空间地理基础信息、广东省人民防空工程建设监理单位资质等级证书等；</w:t>
      </w:r>
    </w:p>
    <w:p w14:paraId="5CA5D19E" w14:textId="77777777" w:rsidR="000F01BC" w:rsidRDefault="000F01BC" w:rsidP="000F01BC">
      <w:pPr>
        <w:spacing w:line="260" w:lineRule="exact"/>
        <w:ind w:firstLineChars="200" w:firstLine="420"/>
      </w:pPr>
      <w:r>
        <w:rPr>
          <w:rFonts w:hint="eastAsia"/>
        </w:rPr>
        <w:t>样例2，业务信息：“区域（广东省、某省直部门/某地市）”+“政务服务事项”+“业务信息”。如：广东省发展改革委工程招标项目信息、深圳市教育局设立民办普通高中批复信息、惠州市个人住房公积金缴存信息等；</w:t>
      </w:r>
    </w:p>
    <w:p w14:paraId="60678AF0" w14:textId="77777777" w:rsidR="000F01BC" w:rsidRDefault="000F01BC" w:rsidP="000F01BC">
      <w:pPr>
        <w:spacing w:line="260" w:lineRule="exact"/>
        <w:ind w:firstLineChars="200" w:firstLine="420"/>
      </w:pPr>
      <w:r>
        <w:rPr>
          <w:rFonts w:hint="eastAsia"/>
        </w:rPr>
        <w:t>样例3，信用信息：“区域（广东省、某省直部门/某地市）”+“行政管理事项”+“业务信息”；如：广东省工业和信息化</w:t>
      </w:r>
      <w:proofErr w:type="gramStart"/>
      <w:r>
        <w:rPr>
          <w:rFonts w:hint="eastAsia"/>
        </w:rPr>
        <w:t>厅道路</w:t>
      </w:r>
      <w:proofErr w:type="gramEnd"/>
      <w:r>
        <w:rPr>
          <w:rFonts w:hint="eastAsia"/>
        </w:rPr>
        <w:t>机动车辆生产企业及产品准入许可信息、某市市场监督管理局行政检查信息等。</w:t>
      </w:r>
    </w:p>
    <w:p w14:paraId="7F4A12A5" w14:textId="77777777" w:rsidR="000F01BC" w:rsidRDefault="000F01BC" w:rsidP="000F01BC">
      <w:pPr>
        <w:spacing w:line="260" w:lineRule="exact"/>
        <w:ind w:firstLineChars="200" w:firstLine="420"/>
      </w:pPr>
      <w:r>
        <w:rPr>
          <w:rFonts w:hint="eastAsia"/>
        </w:rPr>
        <w:t>样例4，统计信息：“年份”+“区域（广东省、某省直部门/某地市）”+“统计指标”；如：2018年全省高技术制造业主要行业统计指标等、2018年潮州市经济和社会发展统计年报；</w:t>
      </w:r>
    </w:p>
    <w:p w14:paraId="57BA2EA3" w14:textId="77777777" w:rsidR="000F01BC" w:rsidRDefault="000F01BC" w:rsidP="000F01BC">
      <w:pPr>
        <w:spacing w:line="260" w:lineRule="exact"/>
        <w:ind w:firstLineChars="200" w:firstLine="420"/>
      </w:pPr>
      <w:r>
        <w:rPr>
          <w:rFonts w:hint="eastAsia"/>
        </w:rPr>
        <w:t>4.包含的数据项：数据类中涉及的数据项业务含义的详细数据字段清单。</w:t>
      </w:r>
    </w:p>
    <w:p w14:paraId="1C9C163B" w14:textId="77777777" w:rsidR="000F01BC" w:rsidRDefault="000F01BC" w:rsidP="000F01BC">
      <w:pPr>
        <w:spacing w:line="260" w:lineRule="exact"/>
        <w:ind w:firstLineChars="200" w:firstLine="420"/>
      </w:pPr>
      <w:r>
        <w:rPr>
          <w:rFonts w:hint="eastAsia"/>
        </w:rPr>
        <w:t>5.是否可以共享：明确是否可以共享。</w:t>
      </w:r>
    </w:p>
    <w:p w14:paraId="2B0DA84E" w14:textId="77777777" w:rsidR="000F01BC" w:rsidRDefault="000F01BC" w:rsidP="000F01BC">
      <w:pPr>
        <w:spacing w:line="260" w:lineRule="exact"/>
        <w:ind w:firstLineChars="200" w:firstLine="420"/>
      </w:pPr>
      <w:r>
        <w:rPr>
          <w:rFonts w:hint="eastAsia"/>
        </w:rPr>
        <w:t>6.更新周期：按该数据类的更新周期，包括实时更新、按日、周、月度等。</w:t>
      </w:r>
    </w:p>
    <w:p w14:paraId="45FE8E21" w14:textId="77777777" w:rsidR="000F01BC" w:rsidRDefault="000F01BC" w:rsidP="000F01BC">
      <w:pPr>
        <w:spacing w:line="260" w:lineRule="exact"/>
        <w:ind w:firstLineChars="200" w:firstLine="420"/>
      </w:pPr>
      <w:r>
        <w:rPr>
          <w:rFonts w:hint="eastAsia"/>
        </w:rPr>
        <w:lastRenderedPageBreak/>
        <w:t>6.数据类型：包括文本、数字、图形、 图像和视频等。</w:t>
      </w:r>
    </w:p>
    <w:p w14:paraId="519F6101" w14:textId="77777777" w:rsidR="000F01BC" w:rsidRDefault="000F01BC" w:rsidP="000F01BC">
      <w:pPr>
        <w:spacing w:line="260" w:lineRule="exact"/>
        <w:ind w:firstLineChars="200" w:firstLine="420"/>
      </w:pPr>
      <w:r>
        <w:rPr>
          <w:rFonts w:hint="eastAsia"/>
        </w:rPr>
        <w:t>7.是否已编目、挂接：数据资源目录的所有数据是否在省政务大数据中心的目录系统上编目，是否将数据共享目录清单涉及的数据进行挂接。</w:t>
      </w:r>
    </w:p>
    <w:p w14:paraId="6A59351C" w14:textId="77777777" w:rsidR="000F01BC" w:rsidRDefault="000F01BC" w:rsidP="000F01BC">
      <w:pPr>
        <w:spacing w:line="260" w:lineRule="exact"/>
        <w:ind w:firstLineChars="200" w:firstLine="420"/>
      </w:pPr>
      <w:r>
        <w:rPr>
          <w:rFonts w:hint="eastAsia"/>
        </w:rPr>
        <w:t>8.备注：</w:t>
      </w:r>
      <w:proofErr w:type="gramStart"/>
      <w:r>
        <w:rPr>
          <w:rFonts w:hint="eastAsia"/>
        </w:rPr>
        <w:t>不</w:t>
      </w:r>
      <w:proofErr w:type="gramEnd"/>
      <w:r>
        <w:rPr>
          <w:rFonts w:hint="eastAsia"/>
        </w:rPr>
        <w:t>共享的法律法规依据及政策理由，详细说明该数据类纳入共享负面清单的原因或依据，有明确条款规定的应列出来源及条款内容。不予共享的法律法规依据和政策理由主要包括：</w:t>
      </w:r>
    </w:p>
    <w:p w14:paraId="7B575387" w14:textId="77777777" w:rsidR="000F01BC" w:rsidRDefault="000F01BC" w:rsidP="000F01BC">
      <w:pPr>
        <w:spacing w:line="260" w:lineRule="exact"/>
        <w:ind w:firstLineChars="200" w:firstLine="420"/>
      </w:pPr>
      <w:r>
        <w:rPr>
          <w:rFonts w:hint="eastAsia"/>
        </w:rPr>
        <w:t>（1）各单位涉及国家秘密、国家安全的业务数据，不能够在政府内部共享，可以</w:t>
      </w:r>
      <w:proofErr w:type="gramStart"/>
      <w:r>
        <w:rPr>
          <w:rFonts w:hint="eastAsia"/>
        </w:rPr>
        <w:t>不</w:t>
      </w:r>
      <w:proofErr w:type="gramEnd"/>
      <w:r>
        <w:rPr>
          <w:rFonts w:hint="eastAsia"/>
        </w:rPr>
        <w:t>共享。</w:t>
      </w:r>
    </w:p>
    <w:p w14:paraId="602C5282" w14:textId="77777777" w:rsidR="000F01BC" w:rsidRDefault="000F01BC" w:rsidP="000F01BC">
      <w:pPr>
        <w:spacing w:line="260" w:lineRule="exact"/>
        <w:ind w:firstLineChars="200" w:firstLine="420"/>
      </w:pPr>
      <w:r>
        <w:rPr>
          <w:rFonts w:hint="eastAsia"/>
        </w:rPr>
        <w:t>（2）各单位有法律、法规、规章依据明确规定，不能在政府内部共享的业务数据，可以</w:t>
      </w:r>
      <w:proofErr w:type="gramStart"/>
      <w:r>
        <w:rPr>
          <w:rFonts w:hint="eastAsia"/>
        </w:rPr>
        <w:t>不</w:t>
      </w:r>
      <w:proofErr w:type="gramEnd"/>
      <w:r>
        <w:rPr>
          <w:rFonts w:hint="eastAsia"/>
        </w:rPr>
        <w:t>共享。</w:t>
      </w:r>
    </w:p>
    <w:p w14:paraId="1F6637CB" w14:textId="77777777" w:rsidR="000F01BC" w:rsidRDefault="000F01BC" w:rsidP="000F01BC">
      <w:pPr>
        <w:spacing w:line="260" w:lineRule="exact"/>
        <w:ind w:firstLineChars="200" w:firstLine="420"/>
      </w:pPr>
      <w:r>
        <w:rPr>
          <w:rFonts w:hint="eastAsia"/>
        </w:rPr>
        <w:t>（3）各单位认为不能共享的其他政策理由。</w:t>
      </w:r>
    </w:p>
    <w:p w14:paraId="4F72A913" w14:textId="77777777" w:rsidR="008E50FE" w:rsidRPr="000F01BC" w:rsidRDefault="008E50FE"/>
    <w:sectPr w:rsidR="008E50FE" w:rsidRPr="000F01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04066" w14:textId="77777777" w:rsidR="00170E9E" w:rsidRDefault="00170E9E" w:rsidP="000F01BC">
      <w:r>
        <w:separator/>
      </w:r>
    </w:p>
  </w:endnote>
  <w:endnote w:type="continuationSeparator" w:id="0">
    <w:p w14:paraId="547F7657" w14:textId="77777777" w:rsidR="00170E9E" w:rsidRDefault="00170E9E" w:rsidP="000F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E16C" w14:textId="77777777" w:rsidR="00170E9E" w:rsidRDefault="00170E9E" w:rsidP="000F01BC">
      <w:r>
        <w:separator/>
      </w:r>
    </w:p>
  </w:footnote>
  <w:footnote w:type="continuationSeparator" w:id="0">
    <w:p w14:paraId="4A3E2CF0" w14:textId="77777777" w:rsidR="00170E9E" w:rsidRDefault="00170E9E" w:rsidP="000F0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15843"/>
    <w:multiLevelType w:val="multilevel"/>
    <w:tmpl w:val="63115843"/>
    <w:lvl w:ilvl="0">
      <w:start w:val="1"/>
      <w:numFmt w:val="decimal"/>
      <w:lvlText w:val="%1."/>
      <w:lvlJc w:val="left"/>
      <w:pPr>
        <w:ind w:left="420" w:hanging="420"/>
      </w:pPr>
      <w:rPr>
        <w:rFonts w:hint="default"/>
        <w:sz w:val="44"/>
        <w:szCs w:val="44"/>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start w:val="1"/>
      <w:numFmt w:val="decimal"/>
      <w:pStyle w:val="4"/>
      <w:suff w:val="space"/>
      <w:lvlText w:val="%1.%2.%3.%4"/>
      <w:lvlJc w:val="left"/>
      <w:pPr>
        <w:ind w:left="2693" w:hanging="425"/>
      </w:pPr>
      <w:rPr>
        <w:rFonts w:ascii="Times New Roman" w:hAnsi="Times New Roman" w:hint="default"/>
        <w:b w:val="0"/>
        <w:i w:val="0"/>
        <w:sz w:val="28"/>
        <w:szCs w:val="28"/>
      </w:rPr>
    </w:lvl>
    <w:lvl w:ilvl="4">
      <w:start w:val="1"/>
      <w:numFmt w:val="decimal"/>
      <w:suff w:val="space"/>
      <w:lvlText w:val="%1.%2.%3.%4.%5"/>
      <w:lvlJc w:val="left"/>
      <w:pPr>
        <w:ind w:left="425" w:hanging="425"/>
      </w:pPr>
      <w:rPr>
        <w:rFonts w:ascii="Times New Roman" w:hAnsi="Times New Roman" w:hint="default"/>
        <w:sz w:val="24"/>
        <w:szCs w:val="24"/>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5C"/>
    <w:rsid w:val="000F01BC"/>
    <w:rsid w:val="00170E9E"/>
    <w:rsid w:val="008E50FE"/>
    <w:rsid w:val="009449B1"/>
    <w:rsid w:val="00CC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AA97A-9EFC-40BE-A94E-55F8A151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TOC2"/>
    <w:qFormat/>
    <w:rsid w:val="000F01BC"/>
    <w:pPr>
      <w:widowControl w:val="0"/>
      <w:jc w:val="both"/>
    </w:pPr>
    <w:rPr>
      <w:szCs w:val="24"/>
    </w:rPr>
  </w:style>
  <w:style w:type="paragraph" w:styleId="4">
    <w:name w:val="heading 4"/>
    <w:aliases w:val="方案标题4,txw标题4,icss4,（四级标题）"/>
    <w:basedOn w:val="a"/>
    <w:next w:val="a"/>
    <w:link w:val="40"/>
    <w:autoRedefine/>
    <w:uiPriority w:val="9"/>
    <w:qFormat/>
    <w:rsid w:val="009449B1"/>
    <w:pPr>
      <w:keepNext/>
      <w:keepLines/>
      <w:widowControl/>
      <w:numPr>
        <w:ilvl w:val="3"/>
        <w:numId w:val="1"/>
      </w:numPr>
      <w:spacing w:beforeLines="100" w:before="100" w:line="360" w:lineRule="auto"/>
      <w:ind w:firstLine="0"/>
      <w:contextualSpacing/>
      <w:jc w:val="left"/>
      <w:outlineLvl w:val="3"/>
    </w:pPr>
    <w:rPr>
      <w:rFonts w:ascii="宋体" w:eastAsia="仿宋_GB2312" w:hAnsi="宋体" w:cs="宋体"/>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aliases w:val="方案标题4 字符,txw标题4 字符,icss4 字符,（四级标题） 字符"/>
    <w:link w:val="4"/>
    <w:uiPriority w:val="9"/>
    <w:qFormat/>
    <w:rsid w:val="009449B1"/>
    <w:rPr>
      <w:rFonts w:ascii="宋体" w:eastAsia="仿宋_GB2312" w:hAnsi="宋体" w:cs="宋体"/>
      <w:bCs/>
      <w:sz w:val="30"/>
      <w:szCs w:val="28"/>
    </w:rPr>
  </w:style>
  <w:style w:type="paragraph" w:styleId="a3">
    <w:name w:val="header"/>
    <w:basedOn w:val="a"/>
    <w:link w:val="a4"/>
    <w:uiPriority w:val="99"/>
    <w:unhideWhenUsed/>
    <w:rsid w:val="000F01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01BC"/>
    <w:rPr>
      <w:sz w:val="18"/>
      <w:szCs w:val="18"/>
    </w:rPr>
  </w:style>
  <w:style w:type="paragraph" w:styleId="a5">
    <w:name w:val="footer"/>
    <w:basedOn w:val="a"/>
    <w:link w:val="a6"/>
    <w:uiPriority w:val="99"/>
    <w:unhideWhenUsed/>
    <w:rsid w:val="000F01BC"/>
    <w:pPr>
      <w:tabs>
        <w:tab w:val="center" w:pos="4153"/>
        <w:tab w:val="right" w:pos="8306"/>
      </w:tabs>
      <w:snapToGrid w:val="0"/>
      <w:jc w:val="left"/>
    </w:pPr>
    <w:rPr>
      <w:sz w:val="18"/>
      <w:szCs w:val="18"/>
    </w:rPr>
  </w:style>
  <w:style w:type="character" w:customStyle="1" w:styleId="a6">
    <w:name w:val="页脚 字符"/>
    <w:basedOn w:val="a0"/>
    <w:link w:val="a5"/>
    <w:uiPriority w:val="99"/>
    <w:rsid w:val="000F01BC"/>
    <w:rPr>
      <w:sz w:val="18"/>
      <w:szCs w:val="18"/>
    </w:rPr>
  </w:style>
  <w:style w:type="paragraph" w:styleId="a7">
    <w:name w:val="caption"/>
    <w:basedOn w:val="a"/>
    <w:next w:val="a"/>
    <w:semiHidden/>
    <w:unhideWhenUsed/>
    <w:qFormat/>
    <w:rsid w:val="000F01BC"/>
    <w:rPr>
      <w:rFonts w:ascii="Arial" w:eastAsia="黑体" w:hAnsi="Arial"/>
      <w:sz w:val="20"/>
    </w:rPr>
  </w:style>
  <w:style w:type="paragraph" w:styleId="TOC2">
    <w:name w:val="toc 2"/>
    <w:basedOn w:val="a"/>
    <w:next w:val="a"/>
    <w:autoRedefine/>
    <w:uiPriority w:val="39"/>
    <w:semiHidden/>
    <w:unhideWhenUsed/>
    <w:rsid w:val="000F01BC"/>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数广</dc:creator>
  <cp:keywords/>
  <dc:description/>
  <cp:lastModifiedBy>数广</cp:lastModifiedBy>
  <cp:revision>2</cp:revision>
  <dcterms:created xsi:type="dcterms:W3CDTF">2020-06-23T02:36:00Z</dcterms:created>
  <dcterms:modified xsi:type="dcterms:W3CDTF">2020-06-23T02:36:00Z</dcterms:modified>
</cp:coreProperties>
</file>