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关于在统计报表中追加一个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企业基本信息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导出自定义标签里面内容的需求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随着新疆自治区各项报表统计的不断延伸以及各项数据的综合利用，为了便于更好地统计、查询、导出等相关问题，建议在统计报表中追加一个可以导出自定义标签内容的菜单。注：根据已有的标签，可以导出该标签中的企业名单：具体需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174625</wp:posOffset>
            </wp:positionV>
            <wp:extent cx="5269230" cy="2479040"/>
            <wp:effectExtent l="0" t="0" r="7620" b="1651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79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统计报表中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追加一个导出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企业基本信息菜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单项，具体导出内容表头如下：</w:t>
      </w:r>
    </w:p>
    <w:p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150495</wp:posOffset>
            </wp:positionH>
            <wp:positionV relativeFrom="paragraph">
              <wp:posOffset>57150</wp:posOffset>
            </wp:positionV>
            <wp:extent cx="5267960" cy="1288415"/>
            <wp:effectExtent l="0" t="0" r="8890" b="698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这样便于后期运维工作的开展。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15D48"/>
    <w:rsid w:val="446D5CA9"/>
    <w:rsid w:val="77CA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dcterms:modified xsi:type="dcterms:W3CDTF">2019-04-25T08:22:25Z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