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FE8" w:rsidRDefault="00F81FE8" w:rsidP="00F81FE8">
      <w:pPr>
        <w:spacing w:line="220" w:lineRule="atLeast"/>
      </w:pPr>
      <w:r>
        <w:rPr>
          <w:rFonts w:hint="eastAsia"/>
        </w:rPr>
        <w:t>服务器远程方式</w:t>
      </w:r>
    </w:p>
    <w:p w:rsidR="00F81FE8" w:rsidRDefault="00F81FE8" w:rsidP="00F81FE8">
      <w:pPr>
        <w:adjustRightInd/>
        <w:snapToGrid/>
        <w:spacing w:after="0"/>
        <w:rPr>
          <w:rFonts w:ascii="宋体" w:eastAsia="宋体" w:hAnsi="宋体" w:cs="宋体"/>
          <w:sz w:val="24"/>
          <w:szCs w:val="24"/>
        </w:rPr>
      </w:pPr>
      <w:r w:rsidRPr="00E50577">
        <w:rPr>
          <w:rFonts w:ascii="宋体" w:eastAsia="宋体" w:hAnsi="宋体" w:cs="宋体"/>
          <w:sz w:val="24"/>
          <w:szCs w:val="24"/>
        </w:rPr>
        <w:t>太原服务器远程方式：</w:t>
      </w:r>
      <w:r w:rsidRPr="00E50577">
        <w:rPr>
          <w:rFonts w:ascii="宋体" w:eastAsia="宋体" w:hAnsi="宋体" w:cs="宋体"/>
          <w:sz w:val="24"/>
          <w:szCs w:val="24"/>
        </w:rPr>
        <w:br/>
        <w:t>应用服务器：10.126.32.23</w:t>
      </w:r>
      <w:r>
        <w:rPr>
          <w:rFonts w:ascii="宋体" w:eastAsia="宋体" w:hAnsi="宋体" w:cs="宋体" w:hint="eastAsia"/>
          <w:sz w:val="24"/>
          <w:szCs w:val="24"/>
        </w:rPr>
        <w:t xml:space="preserve">  </w:t>
      </w:r>
      <w:r w:rsidRPr="00E50577">
        <w:rPr>
          <w:rFonts w:ascii="宋体" w:eastAsia="宋体" w:hAnsi="宋体" w:cs="宋体"/>
          <w:sz w:val="24"/>
          <w:szCs w:val="24"/>
        </w:rPr>
        <w:t>administrator</w:t>
      </w:r>
      <w:r>
        <w:rPr>
          <w:rFonts w:ascii="宋体" w:eastAsia="宋体" w:hAnsi="宋体" w:cs="宋体" w:hint="eastAsia"/>
          <w:sz w:val="24"/>
          <w:szCs w:val="24"/>
        </w:rPr>
        <w:t xml:space="preserve"> </w:t>
      </w:r>
    </w:p>
    <w:p w:rsidR="00F81FE8" w:rsidRPr="00E50577" w:rsidRDefault="00F81FE8" w:rsidP="00F81FE8">
      <w:pPr>
        <w:adjustRightInd/>
        <w:snapToGrid/>
        <w:spacing w:after="0"/>
        <w:ind w:firstLineChars="500" w:firstLine="1200"/>
        <w:rPr>
          <w:rFonts w:ascii="宋体" w:eastAsia="宋体" w:hAnsi="宋体" w:cs="宋体"/>
          <w:sz w:val="24"/>
          <w:szCs w:val="24"/>
        </w:rPr>
      </w:pPr>
      <w:r>
        <w:rPr>
          <w:rFonts w:ascii="宋体" w:eastAsia="宋体" w:hAnsi="宋体" w:cs="宋体" w:hint="eastAsia"/>
          <w:sz w:val="24"/>
          <w:szCs w:val="24"/>
        </w:rPr>
        <w:t xml:space="preserve"> </w:t>
      </w:r>
      <w:r w:rsidRPr="00E50577">
        <w:rPr>
          <w:rFonts w:ascii="宋体" w:eastAsia="宋体" w:hAnsi="宋体" w:cs="宋体"/>
          <w:sz w:val="24"/>
          <w:szCs w:val="24"/>
        </w:rPr>
        <w:t>TYhbj123程序部署路径：E:\JointSkyV3.0</w:t>
      </w:r>
      <w:r w:rsidRPr="00E50577">
        <w:rPr>
          <w:rFonts w:ascii="宋体" w:eastAsia="宋体" w:hAnsi="宋体" w:cs="宋体"/>
          <w:sz w:val="24"/>
          <w:szCs w:val="24"/>
        </w:rPr>
        <w:br/>
        <w:t>数据库服务器：10.126.32.24</w:t>
      </w:r>
      <w:r>
        <w:rPr>
          <w:rFonts w:ascii="宋体" w:eastAsia="宋体" w:hAnsi="宋体" w:cs="宋体" w:hint="eastAsia"/>
          <w:sz w:val="24"/>
          <w:szCs w:val="24"/>
        </w:rPr>
        <w:t xml:space="preserve">   </w:t>
      </w:r>
      <w:r w:rsidRPr="00E50577">
        <w:rPr>
          <w:rFonts w:ascii="宋体" w:eastAsia="宋体" w:hAnsi="宋体" w:cs="宋体"/>
          <w:sz w:val="24"/>
          <w:szCs w:val="24"/>
        </w:rPr>
        <w:t>administrator</w:t>
      </w:r>
      <w:r>
        <w:rPr>
          <w:rFonts w:ascii="宋体" w:eastAsia="宋体" w:hAnsi="宋体" w:cs="宋体" w:hint="eastAsia"/>
          <w:sz w:val="24"/>
          <w:szCs w:val="24"/>
        </w:rPr>
        <w:t xml:space="preserve">   </w:t>
      </w:r>
      <w:r w:rsidRPr="00E50577">
        <w:rPr>
          <w:rFonts w:ascii="宋体" w:eastAsia="宋体" w:hAnsi="宋体" w:cs="宋体"/>
          <w:sz w:val="24"/>
          <w:szCs w:val="24"/>
        </w:rPr>
        <w:t>TYhbj123</w:t>
      </w:r>
      <w:r>
        <w:rPr>
          <w:rFonts w:ascii="宋体" w:eastAsia="宋体" w:hAnsi="宋体" w:cs="宋体" w:hint="eastAsia"/>
          <w:sz w:val="24"/>
          <w:szCs w:val="24"/>
        </w:rPr>
        <w:t xml:space="preserve">  </w:t>
      </w:r>
      <w:proofErr w:type="spellStart"/>
      <w:r>
        <w:rPr>
          <w:rFonts w:ascii="宋体" w:eastAsia="宋体" w:hAnsi="宋体" w:cs="宋体" w:hint="eastAsia"/>
          <w:sz w:val="24"/>
          <w:szCs w:val="24"/>
        </w:rPr>
        <w:t>s</w:t>
      </w:r>
      <w:r w:rsidRPr="00E50577">
        <w:rPr>
          <w:rFonts w:ascii="宋体" w:eastAsia="宋体" w:hAnsi="宋体" w:cs="宋体"/>
          <w:sz w:val="24"/>
          <w:szCs w:val="24"/>
        </w:rPr>
        <w:t>a</w:t>
      </w:r>
      <w:proofErr w:type="spellEnd"/>
      <w:r w:rsidRPr="00E50577">
        <w:rPr>
          <w:rFonts w:ascii="宋体" w:eastAsia="宋体" w:hAnsi="宋体" w:cs="宋体"/>
          <w:sz w:val="24"/>
          <w:szCs w:val="24"/>
        </w:rPr>
        <w:t>/tyhb123.com</w:t>
      </w:r>
      <w:r w:rsidRPr="00E50577">
        <w:rPr>
          <w:rFonts w:ascii="宋体" w:eastAsia="宋体" w:hAnsi="宋体" w:cs="宋体"/>
          <w:sz w:val="24"/>
          <w:szCs w:val="24"/>
        </w:rPr>
        <w:br/>
      </w:r>
      <w:r w:rsidRPr="00E50577">
        <w:rPr>
          <w:rFonts w:ascii="宋体" w:eastAsia="宋体" w:hAnsi="宋体" w:cs="宋体"/>
          <w:sz w:val="24"/>
          <w:szCs w:val="24"/>
        </w:rPr>
        <w:br/>
        <w:t>系统登录方式：http://10.126.32.23:8080/jointframe/app/AppMain!index.page</w:t>
      </w:r>
      <w:r w:rsidRPr="00E50577">
        <w:rPr>
          <w:rFonts w:ascii="宋体" w:eastAsia="宋体" w:hAnsi="宋体" w:cs="宋体"/>
          <w:sz w:val="24"/>
          <w:szCs w:val="24"/>
        </w:rPr>
        <w:br/>
        <w:t>帐号</w:t>
      </w:r>
      <w:proofErr w:type="spellStart"/>
      <w:r w:rsidRPr="00E50577">
        <w:rPr>
          <w:rFonts w:ascii="宋体" w:eastAsia="宋体" w:hAnsi="宋体" w:cs="宋体"/>
          <w:sz w:val="24"/>
          <w:szCs w:val="24"/>
        </w:rPr>
        <w:t>ty_yxy</w:t>
      </w:r>
      <w:proofErr w:type="spellEnd"/>
      <w:r>
        <w:rPr>
          <w:rFonts w:ascii="宋体" w:eastAsia="宋体" w:hAnsi="宋体" w:cs="宋体" w:hint="eastAsia"/>
          <w:sz w:val="24"/>
          <w:szCs w:val="24"/>
        </w:rPr>
        <w:t xml:space="preserve">    </w:t>
      </w:r>
      <w:r w:rsidRPr="00E50577">
        <w:rPr>
          <w:rFonts w:ascii="宋体" w:eastAsia="宋体" w:hAnsi="宋体" w:cs="宋体"/>
          <w:sz w:val="24"/>
          <w:szCs w:val="24"/>
        </w:rPr>
        <w:t>密码</w:t>
      </w:r>
      <w:r>
        <w:rPr>
          <w:rFonts w:ascii="宋体" w:eastAsia="宋体" w:hAnsi="宋体" w:cs="宋体" w:hint="eastAsia"/>
          <w:sz w:val="24"/>
          <w:szCs w:val="24"/>
        </w:rPr>
        <w:t xml:space="preserve">   </w:t>
      </w:r>
      <w:r w:rsidRPr="00E50577">
        <w:rPr>
          <w:rFonts w:ascii="宋体" w:eastAsia="宋体" w:hAnsi="宋体" w:cs="宋体"/>
          <w:sz w:val="24"/>
          <w:szCs w:val="24"/>
        </w:rPr>
        <w:t xml:space="preserve">932906 </w:t>
      </w:r>
    </w:p>
    <w:p w:rsidR="00F81FE8" w:rsidRDefault="00F81FE8" w:rsidP="00F81FE8">
      <w:pPr>
        <w:spacing w:line="220" w:lineRule="atLeast"/>
      </w:pPr>
    </w:p>
    <w:p w:rsidR="00F81FE8" w:rsidRDefault="00F81FE8" w:rsidP="00F81FE8">
      <w:pPr>
        <w:spacing w:line="220" w:lineRule="atLeast"/>
      </w:pPr>
      <w:r>
        <w:t>问题描述：</w:t>
      </w:r>
    </w:p>
    <w:p w:rsidR="00F81FE8" w:rsidRDefault="00FE7F31" w:rsidP="00F81FE8">
      <w:pPr>
        <w:spacing w:line="220" w:lineRule="atLeast"/>
        <w:rPr>
          <w:rFonts w:hint="eastAsia"/>
        </w:rPr>
      </w:pPr>
      <w:r>
        <w:rPr>
          <w:rFonts w:hint="eastAsia"/>
        </w:rPr>
        <w:t>1</w:t>
      </w:r>
      <w:r>
        <w:rPr>
          <w:rFonts w:hint="eastAsia"/>
        </w:rPr>
        <w:t>、</w:t>
      </w:r>
      <w:r w:rsidR="00F81FE8">
        <w:rPr>
          <w:rFonts w:hint="eastAsia"/>
        </w:rPr>
        <w:t>山西报表超标立案模块废气小时均值超标查询时，部分数据查不出。例如</w:t>
      </w:r>
    </w:p>
    <w:p w:rsidR="00F81FE8" w:rsidRPr="005A0BA2" w:rsidRDefault="00F81FE8" w:rsidP="00F81FE8">
      <w:pPr>
        <w:spacing w:line="220" w:lineRule="atLeast"/>
      </w:pPr>
      <w:r>
        <w:rPr>
          <w:rFonts w:hint="eastAsia"/>
        </w:rPr>
        <w:t>企业名称：</w:t>
      </w:r>
      <w:r>
        <w:rPr>
          <w:rFonts w:hint="eastAsia"/>
        </w:rPr>
        <w:t xml:space="preserve"> </w:t>
      </w:r>
      <w:r w:rsidRPr="00F81FE8">
        <w:rPr>
          <w:rFonts w:hint="eastAsia"/>
        </w:rPr>
        <w:t>山西太钢不锈钢股份有限公司</w:t>
      </w:r>
      <w:r w:rsidRPr="005A0BA2">
        <w:rPr>
          <w:rFonts w:hint="eastAsia"/>
        </w:rPr>
        <w:t xml:space="preserve"> </w:t>
      </w:r>
    </w:p>
    <w:p w:rsidR="00F81FE8" w:rsidRDefault="00F81FE8" w:rsidP="00F81FE8">
      <w:pPr>
        <w:spacing w:line="220" w:lineRule="atLeast"/>
        <w:rPr>
          <w:rFonts w:hint="eastAsia"/>
        </w:rPr>
      </w:pPr>
      <w:r w:rsidRPr="005A0BA2">
        <w:rPr>
          <w:rFonts w:hint="eastAsia"/>
        </w:rPr>
        <w:t xml:space="preserve">  </w:t>
      </w:r>
      <w:proofErr w:type="spellStart"/>
      <w:r w:rsidRPr="005A0BA2">
        <w:t>P</w:t>
      </w:r>
      <w:r w:rsidRPr="005A0BA2">
        <w:rPr>
          <w:rFonts w:hint="eastAsia"/>
        </w:rPr>
        <w:t>scode</w:t>
      </w:r>
      <w:proofErr w:type="spellEnd"/>
      <w:r w:rsidRPr="005A0BA2">
        <w:rPr>
          <w:rFonts w:hint="eastAsia"/>
        </w:rPr>
        <w:t>：</w:t>
      </w:r>
      <w:r w:rsidRPr="00F81FE8">
        <w:t>140000000162</w:t>
      </w:r>
    </w:p>
    <w:p w:rsidR="00F81FE8" w:rsidRDefault="00F81FE8" w:rsidP="00F81FE8">
      <w:pPr>
        <w:spacing w:line="220" w:lineRule="atLeast"/>
        <w:rPr>
          <w:rFonts w:hint="eastAsia"/>
        </w:rPr>
      </w:pPr>
      <w:r>
        <w:rPr>
          <w:rFonts w:hint="eastAsia"/>
        </w:rPr>
        <w:t>监控点名称：</w:t>
      </w:r>
      <w:r>
        <w:rPr>
          <w:rFonts w:hint="eastAsia"/>
        </w:rPr>
        <w:t xml:space="preserve"> </w:t>
      </w:r>
      <w:r w:rsidRPr="00F81FE8">
        <w:rPr>
          <w:rFonts w:hint="eastAsia"/>
        </w:rPr>
        <w:t>四烧机尾废气排口</w:t>
      </w:r>
      <w:r>
        <w:rPr>
          <w:rFonts w:hint="eastAsia"/>
        </w:rPr>
        <w:t xml:space="preserve">        </w:t>
      </w:r>
      <w:r>
        <w:rPr>
          <w:rFonts w:hint="eastAsia"/>
        </w:rPr>
        <w:t>监控点编号：</w:t>
      </w:r>
      <w:r>
        <w:rPr>
          <w:rFonts w:hint="eastAsia"/>
        </w:rPr>
        <w:t>49</w:t>
      </w:r>
    </w:p>
    <w:p w:rsidR="00F81FE8" w:rsidRDefault="00F81FE8" w:rsidP="00F81FE8">
      <w:pPr>
        <w:spacing w:line="220" w:lineRule="atLeast"/>
      </w:pPr>
      <w:r>
        <w:rPr>
          <w:rFonts w:hint="eastAsia"/>
        </w:rPr>
        <w:t>该监控点在统计报表中</w:t>
      </w:r>
      <w:r>
        <w:rPr>
          <w:rFonts w:hint="eastAsia"/>
        </w:rPr>
        <w:t>2019</w:t>
      </w:r>
      <w:r>
        <w:rPr>
          <w:rFonts w:hint="eastAsia"/>
        </w:rPr>
        <w:t>年</w:t>
      </w:r>
      <w:r>
        <w:rPr>
          <w:rFonts w:hint="eastAsia"/>
        </w:rPr>
        <w:t>1</w:t>
      </w:r>
      <w:r>
        <w:rPr>
          <w:rFonts w:hint="eastAsia"/>
        </w:rPr>
        <w:t>月</w:t>
      </w:r>
      <w:r>
        <w:rPr>
          <w:rFonts w:hint="eastAsia"/>
        </w:rPr>
        <w:t>3</w:t>
      </w:r>
      <w:r>
        <w:rPr>
          <w:rFonts w:hint="eastAsia"/>
        </w:rPr>
        <w:t>日</w:t>
      </w:r>
      <w:r>
        <w:rPr>
          <w:rFonts w:hint="eastAsia"/>
        </w:rPr>
        <w:t>0</w:t>
      </w:r>
      <w:r>
        <w:rPr>
          <w:rFonts w:hint="eastAsia"/>
        </w:rPr>
        <w:t>点，</w:t>
      </w:r>
      <w:r>
        <w:rPr>
          <w:rFonts w:hint="eastAsia"/>
        </w:rPr>
        <w:t>1</w:t>
      </w:r>
      <w:r>
        <w:rPr>
          <w:rFonts w:hint="eastAsia"/>
        </w:rPr>
        <w:t>点，</w:t>
      </w:r>
      <w:r>
        <w:rPr>
          <w:rFonts w:hint="eastAsia"/>
        </w:rPr>
        <w:t>2</w:t>
      </w:r>
      <w:r>
        <w:rPr>
          <w:rFonts w:hint="eastAsia"/>
        </w:rPr>
        <w:t>点，</w:t>
      </w:r>
      <w:r>
        <w:rPr>
          <w:rFonts w:hint="eastAsia"/>
        </w:rPr>
        <w:t>3</w:t>
      </w:r>
      <w:r>
        <w:rPr>
          <w:rFonts w:hint="eastAsia"/>
        </w:rPr>
        <w:t>点，</w:t>
      </w:r>
      <w:r>
        <w:rPr>
          <w:rFonts w:hint="eastAsia"/>
        </w:rPr>
        <w:t>4</w:t>
      </w:r>
      <w:r>
        <w:rPr>
          <w:rFonts w:hint="eastAsia"/>
        </w:rPr>
        <w:t>点烟尘浓度均超标（标准为</w:t>
      </w:r>
      <w:r>
        <w:rPr>
          <w:rFonts w:hint="eastAsia"/>
        </w:rPr>
        <w:t>20</w:t>
      </w:r>
      <w:r>
        <w:rPr>
          <w:rFonts w:hint="eastAsia"/>
        </w:rPr>
        <w:t>），但在山西报表中查不到，请协助查看。</w:t>
      </w:r>
    </w:p>
    <w:p w:rsidR="00F81FE8" w:rsidRDefault="00F81FE8" w:rsidP="00D31D50">
      <w:pPr>
        <w:spacing w:line="220" w:lineRule="atLeast"/>
        <w:rPr>
          <w:rFonts w:hint="eastAsia"/>
        </w:rPr>
      </w:pPr>
    </w:p>
    <w:p w:rsidR="004358AB" w:rsidRDefault="00F81FE8" w:rsidP="00D31D50">
      <w:pPr>
        <w:spacing w:line="220" w:lineRule="atLeast"/>
        <w:rPr>
          <w:rFonts w:hint="eastAsia"/>
        </w:rPr>
      </w:pPr>
      <w:r>
        <w:rPr>
          <w:noProof/>
        </w:rPr>
        <w:drawing>
          <wp:inline distT="0" distB="0" distL="0" distR="0">
            <wp:extent cx="5269081" cy="2276475"/>
            <wp:effectExtent l="19050" t="0" r="7769"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274310" cy="2278734"/>
                    </a:xfrm>
                    <a:prstGeom prst="rect">
                      <a:avLst/>
                    </a:prstGeom>
                    <a:noFill/>
                    <a:ln w="9525">
                      <a:noFill/>
                      <a:miter lim="800000"/>
                      <a:headEnd/>
                      <a:tailEnd/>
                    </a:ln>
                  </pic:spPr>
                </pic:pic>
              </a:graphicData>
            </a:graphic>
          </wp:inline>
        </w:drawing>
      </w:r>
    </w:p>
    <w:p w:rsidR="00F81FE8" w:rsidRDefault="00F81FE8" w:rsidP="00D31D50">
      <w:pPr>
        <w:spacing w:line="220" w:lineRule="atLeast"/>
        <w:rPr>
          <w:rFonts w:hint="eastAsia"/>
        </w:rPr>
      </w:pPr>
      <w:r>
        <w:rPr>
          <w:noProof/>
        </w:rPr>
        <w:lastRenderedPageBreak/>
        <w:drawing>
          <wp:inline distT="0" distB="0" distL="0" distR="0">
            <wp:extent cx="5274310" cy="2639636"/>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274310" cy="2639636"/>
                    </a:xfrm>
                    <a:prstGeom prst="rect">
                      <a:avLst/>
                    </a:prstGeom>
                    <a:noFill/>
                    <a:ln w="9525">
                      <a:noFill/>
                      <a:miter lim="800000"/>
                      <a:headEnd/>
                      <a:tailEnd/>
                    </a:ln>
                  </pic:spPr>
                </pic:pic>
              </a:graphicData>
            </a:graphic>
          </wp:inline>
        </w:drawing>
      </w:r>
    </w:p>
    <w:p w:rsidR="00F81FE8" w:rsidRDefault="00F81FE8" w:rsidP="00D31D50">
      <w:pPr>
        <w:spacing w:line="220" w:lineRule="atLeast"/>
        <w:rPr>
          <w:rFonts w:hint="eastAsia"/>
        </w:rPr>
      </w:pPr>
    </w:p>
    <w:p w:rsidR="00F81FE8" w:rsidRDefault="00F81FE8" w:rsidP="00D31D50">
      <w:pPr>
        <w:spacing w:line="220" w:lineRule="atLeast"/>
        <w:rPr>
          <w:rFonts w:hint="eastAsia"/>
        </w:rPr>
      </w:pPr>
    </w:p>
    <w:p w:rsidR="00FE7F31" w:rsidRDefault="001562CF" w:rsidP="00D31D50">
      <w:pPr>
        <w:spacing w:line="220" w:lineRule="atLeast"/>
        <w:rPr>
          <w:rFonts w:hint="eastAsia"/>
        </w:rPr>
      </w:pPr>
      <w:r>
        <w:rPr>
          <w:rFonts w:hint="eastAsia"/>
        </w:rPr>
        <w:t>2</w:t>
      </w:r>
      <w:r>
        <w:rPr>
          <w:rFonts w:hint="eastAsia"/>
        </w:rPr>
        <w:t>、</w:t>
      </w:r>
      <w:r w:rsidR="00F81FE8">
        <w:rPr>
          <w:rFonts w:hint="eastAsia"/>
        </w:rPr>
        <w:t>山西报表模块废气小时均值和废水日均值浓度均是超过标准</w:t>
      </w:r>
      <w:r w:rsidR="00F81FE8">
        <w:rPr>
          <w:rFonts w:hint="eastAsia"/>
        </w:rPr>
        <w:t>0.1</w:t>
      </w:r>
      <w:r w:rsidR="00F81FE8">
        <w:rPr>
          <w:rFonts w:hint="eastAsia"/>
        </w:rPr>
        <w:t>倍才会判断为超标。经核实，山西省之前下发的超</w:t>
      </w:r>
      <w:r w:rsidR="00F81FE8">
        <w:rPr>
          <w:rFonts w:hint="eastAsia"/>
        </w:rPr>
        <w:t>0.1</w:t>
      </w:r>
      <w:r w:rsidR="00F81FE8">
        <w:rPr>
          <w:rFonts w:hint="eastAsia"/>
        </w:rPr>
        <w:t>倍才判断为超标的文件已废止，现污染物超过标准就应该判断为超标。请协助修改</w:t>
      </w:r>
      <w:r>
        <w:rPr>
          <w:rFonts w:hint="eastAsia"/>
        </w:rPr>
        <w:t>。</w:t>
      </w:r>
    </w:p>
    <w:p w:rsidR="00FE7F31" w:rsidRDefault="00FE7F31" w:rsidP="00FE7F31">
      <w:pPr>
        <w:spacing w:line="220" w:lineRule="atLeast"/>
        <w:rPr>
          <w:rFonts w:hint="eastAsia"/>
        </w:rPr>
      </w:pPr>
      <w:r>
        <w:rPr>
          <w:rFonts w:hint="eastAsia"/>
          <w:noProof/>
        </w:rPr>
        <w:t>备注：</w:t>
      </w:r>
      <w:r w:rsidR="001562CF">
        <w:rPr>
          <w:rFonts w:hint="eastAsia"/>
          <w:noProof/>
        </w:rPr>
        <w:t>为落实晋环函</w:t>
      </w:r>
      <w:r w:rsidR="001562CF">
        <w:rPr>
          <w:rFonts w:hint="eastAsia"/>
          <w:noProof/>
        </w:rPr>
        <w:t>[2015]485</w:t>
      </w:r>
      <w:r w:rsidR="001562CF">
        <w:rPr>
          <w:rFonts w:hint="eastAsia"/>
          <w:noProof/>
        </w:rPr>
        <w:t>号文件要求，《山西省环境保护厅办公室关于自动在线监控数据应用于超标超量违法事实认定的技术说明》（晋环办发</w:t>
      </w:r>
      <w:r w:rsidR="001562CF">
        <w:rPr>
          <w:rFonts w:hint="eastAsia"/>
          <w:noProof/>
        </w:rPr>
        <w:t>[2015]24</w:t>
      </w:r>
      <w:r w:rsidR="001562CF">
        <w:rPr>
          <w:rFonts w:hint="eastAsia"/>
          <w:noProof/>
        </w:rPr>
        <w:t>号）文件中规定对废气污染物排放浓度小时均值与废水污染物排放浓度日均值有效数据超标倍数</w:t>
      </w:r>
      <w:r w:rsidR="001562CF">
        <w:rPr>
          <w:rFonts w:hint="eastAsia"/>
          <w:noProof/>
        </w:rPr>
        <w:t>0.1</w:t>
      </w:r>
      <w:r w:rsidR="001562CF">
        <w:rPr>
          <w:rFonts w:hint="eastAsia"/>
          <w:noProof/>
        </w:rPr>
        <w:t>倍以上的予以立案。而晋环发</w:t>
      </w:r>
      <w:r w:rsidR="001562CF">
        <w:rPr>
          <w:rFonts w:hint="eastAsia"/>
          <w:noProof/>
        </w:rPr>
        <w:t>[2016]19</w:t>
      </w:r>
      <w:r w:rsidR="001562CF">
        <w:rPr>
          <w:rFonts w:hint="eastAsia"/>
          <w:noProof/>
        </w:rPr>
        <w:t>号文件对</w:t>
      </w:r>
      <w:r>
        <w:rPr>
          <w:rFonts w:hint="eastAsia"/>
          <w:noProof/>
        </w:rPr>
        <w:t>污染物超标排污违法行为做了进一步规定并同时废止了晋环函</w:t>
      </w:r>
      <w:r>
        <w:rPr>
          <w:rFonts w:hint="eastAsia"/>
          <w:noProof/>
        </w:rPr>
        <w:t>[2015]485</w:t>
      </w:r>
      <w:r>
        <w:rPr>
          <w:rFonts w:hint="eastAsia"/>
          <w:noProof/>
        </w:rPr>
        <w:t>号文件。</w:t>
      </w:r>
      <w:r>
        <w:rPr>
          <w:rFonts w:hint="eastAsia"/>
        </w:rPr>
        <w:t>文件见附件</w:t>
      </w:r>
    </w:p>
    <w:p w:rsidR="001562CF" w:rsidRDefault="001562CF" w:rsidP="00D31D50">
      <w:pPr>
        <w:spacing w:line="220" w:lineRule="atLeast"/>
        <w:rPr>
          <w:rFonts w:hint="eastAsia"/>
        </w:rPr>
      </w:pPr>
    </w:p>
    <w:p w:rsidR="001562CF" w:rsidRDefault="001562CF" w:rsidP="00D31D50">
      <w:pPr>
        <w:spacing w:line="220" w:lineRule="atLeast"/>
      </w:pPr>
    </w:p>
    <w:sectPr w:rsidR="001562CF"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1562CF"/>
    <w:rsid w:val="00323B43"/>
    <w:rsid w:val="003C4F3C"/>
    <w:rsid w:val="003D37D8"/>
    <w:rsid w:val="00426133"/>
    <w:rsid w:val="004358AB"/>
    <w:rsid w:val="008B7726"/>
    <w:rsid w:val="00D31D50"/>
    <w:rsid w:val="00F81FE8"/>
    <w:rsid w:val="00FE7F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81FE8"/>
    <w:pPr>
      <w:spacing w:after="0"/>
    </w:pPr>
    <w:rPr>
      <w:sz w:val="18"/>
      <w:szCs w:val="18"/>
    </w:rPr>
  </w:style>
  <w:style w:type="character" w:customStyle="1" w:styleId="Char">
    <w:name w:val="批注框文本 Char"/>
    <w:basedOn w:val="a0"/>
    <w:link w:val="a3"/>
    <w:uiPriority w:val="99"/>
    <w:semiHidden/>
    <w:rsid w:val="00F81FE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2008-09-11T17:20:00Z</dcterms:created>
  <dcterms:modified xsi:type="dcterms:W3CDTF">2019-01-23T09:41:00Z</dcterms:modified>
</cp:coreProperties>
</file>