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i w:val="0"/>
          <w:iCs w:val="0"/>
          <w:caps w:val="0"/>
          <w:color w:val="2B3546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B3546"/>
          <w:spacing w:val="0"/>
          <w:sz w:val="32"/>
          <w:szCs w:val="32"/>
          <w:shd w:val="clear" w:fill="FFFFFF"/>
        </w:rPr>
        <w:t>固原市绿韵园污水运营服务有限公司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B3546"/>
          <w:spacing w:val="0"/>
          <w:sz w:val="32"/>
          <w:szCs w:val="32"/>
          <w:shd w:val="clear" w:fill="FFFFFF"/>
          <w:lang w:val="en-US" w:eastAsia="zh-CN"/>
        </w:rPr>
        <w:t>省平台和部平台常规监测因子标记时间不一致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6381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省平台常规监测因子标记截图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60102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部平台常规监测因子标记截图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4F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2024-03-27T06:13:20Z</dcterms:created>
  <dc:creator>Administrator</dc:creator>
  <cp:lastModifiedBy>小伙很暖心</cp:lastModifiedBy>
  <dcterms:modified xsi:type="dcterms:W3CDTF">2024-03-27T06:14:50Z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18215A656A9A49E58B76CFDC96E34C72_12</vt:lpwstr>
  </property>
</Properties>
</file>