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关于白银市2023年补全有效传输率处理申请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截至2023年12月31日白银市补全有效传输率为98.96%，1月4日查看时仍为全省第二，但是1月9日查看时白银市补全有效传输率已变为全省第7，经查并核实原因由于4.1平台两家企业（白银宏鑫投资建设有限责任公司（白银银西西南片区污水处理厂）、甘肃垒鑫达环保技术有限公司）水排放规律系统自动变为连续稳定排放，导致部里重新计算率时之前全年流量为0的时段全是流量无效，故全年数据有效率降低。监控中心领</w:t>
      </w:r>
      <w:bookmarkStart w:id="0" w:name="_GoBack"/>
      <w:bookmarkEnd w:id="0"/>
      <w:r>
        <w:rPr>
          <w:rFonts w:hint="eastAsia"/>
          <w:lang w:val="en-US" w:eastAsia="zh-CN"/>
        </w:rPr>
        <w:t>导之前已将2023年补全有效率排名情况以科室总结形式上报给局长，全局领导也比较重视有效传输率的排名情况，现向公司申请对上述两家企业补全有效传输率进行重算，望领导批准。</w:t>
      </w:r>
    </w:p>
    <w:p>
      <w:r>
        <w:rPr>
          <w:rFonts w:hint="default"/>
          <w:lang w:val="en-US" w:eastAsia="zh-CN"/>
        </w:rPr>
        <w:drawing>
          <wp:inline distT="0" distB="0" distL="114300" distR="114300">
            <wp:extent cx="5260340" cy="2435860"/>
            <wp:effectExtent l="0" t="0" r="16510" b="2540"/>
            <wp:docPr id="1" name="图片 1" descr="d0e70970976eced1f01f12e29e32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e70970976eced1f01f12e29e327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27241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8435" cy="2576830"/>
            <wp:effectExtent l="0" t="0" r="1841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57800" cy="2577465"/>
            <wp:effectExtent l="0" t="0" r="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1610" cy="2587625"/>
            <wp:effectExtent l="0" t="0" r="15240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2IwMjc3N2U1Y2YyMDc0OTBjNjZmMzM2ZDI2M2EifQ=="/>
  </w:docVars>
  <w:rsids>
    <w:rsidRoot w:val="00000000"/>
    <w:rsid w:val="1E4B3BA9"/>
    <w:rsid w:val="75A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2024-01-09T02:18:32Z</dcterms:created>
  <dc:creator>36902</dc:creator>
  <cp:lastModifiedBy>平头哥</cp:lastModifiedBy>
  <dcterms:modified xsi:type="dcterms:W3CDTF">2024-01-09T02:38:31Z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AF4FBCDBDAC544C0B69F21EB1E1B8308_12</vt:lpwstr>
  </property>
</Properties>
</file>