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52"/>
          <w:szCs w:val="52"/>
          <w:lang w:val="en-US" w:eastAsia="zh-CN"/>
        </w:rPr>
      </w:pPr>
      <w:r>
        <w:rPr>
          <w:rFonts w:hint="eastAsia"/>
          <w:sz w:val="52"/>
          <w:szCs w:val="52"/>
          <w:lang w:val="en-US" w:eastAsia="zh-CN"/>
        </w:rPr>
        <w:t>（封面）</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r>
        <w:rPr>
          <w:rFonts w:hint="eastAsia"/>
          <w:sz w:val="44"/>
          <w:szCs w:val="44"/>
          <w:lang w:val="en-US" w:eastAsia="zh-CN"/>
        </w:rPr>
        <w:t>长天长服务体系员工指引手册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default"/>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扉页（需设计）</w:t>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sz w:val="21"/>
          <w:szCs w:val="21"/>
          <w:lang w:val="en-US" w:eastAsia="zh-CN"/>
        </w:rPr>
      </w:pPr>
      <w:r>
        <w:rPr>
          <w:rFonts w:hint="eastAsia"/>
          <w:b/>
          <w:bCs/>
          <w:sz w:val="21"/>
          <w:szCs w:val="21"/>
          <w:lang w:val="en-US" w:eastAsia="zh-CN"/>
        </w:rPr>
        <w:t>愿景：</w:t>
      </w:r>
      <w:r>
        <w:rPr>
          <w:rFonts w:hint="default"/>
          <w:sz w:val="21"/>
          <w:szCs w:val="21"/>
          <w:lang w:val="en-US" w:eastAsia="zh-CN"/>
        </w:rPr>
        <w:t>终极的解决人类环保问题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r>
        <w:rPr>
          <w:rFonts w:hint="eastAsia"/>
          <w:b/>
          <w:bCs/>
          <w:sz w:val="21"/>
          <w:szCs w:val="21"/>
          <w:lang w:val="en-US" w:eastAsia="zh-CN"/>
        </w:rPr>
        <w:t>企业诉求：</w:t>
      </w:r>
      <w:r>
        <w:rPr>
          <w:rFonts w:hint="eastAsia"/>
          <w:sz w:val="21"/>
          <w:szCs w:val="21"/>
          <w:lang w:val="en-US" w:eastAsia="zh-CN"/>
        </w:rPr>
        <w:t>改变中国环境质量</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default"/>
          <w:sz w:val="21"/>
          <w:szCs w:val="21"/>
          <w:lang w:val="en-US" w:eastAsia="zh-CN"/>
        </w:rPr>
      </w:pPr>
      <w:r>
        <w:rPr>
          <w:rFonts w:hint="default"/>
          <w:sz w:val="21"/>
          <w:szCs w:val="21"/>
          <w:lang w:val="en-US" w:eastAsia="zh-CN"/>
        </w:rPr>
        <w:t>我们生活在渐变的环境里，如果我们对于渐变的过程过于麻木，就讲给我们的子孙后代留下突变的灾难。我们必须用科技去精准测量这种变化，用心灵的呼唤去警醒现实的人们，用我们的全部的意识和智力来守护我们自己的家园，避免人类文明的消失。</w:t>
      </w:r>
    </w:p>
    <w:p>
      <w:pPr>
        <w:keepNext w:val="0"/>
        <w:keepLines w:val="0"/>
        <w:pageBreakBefore w:val="0"/>
        <w:widowControl w:val="0"/>
        <w:kinsoku/>
        <w:wordWrap/>
        <w:overflowPunct/>
        <w:topLinePunct w:val="0"/>
        <w:autoSpaceDE/>
        <w:autoSpaceDN/>
        <w:bidi w:val="0"/>
        <w:adjustRightInd/>
        <w:snapToGrid/>
        <w:spacing w:line="288" w:lineRule="auto"/>
        <w:jc w:val="right"/>
        <w:textAlignment w:val="auto"/>
        <w:rPr>
          <w:rFonts w:hint="default"/>
          <w:sz w:val="21"/>
          <w:szCs w:val="21"/>
          <w:lang w:val="en-US" w:eastAsia="zh-CN"/>
        </w:rPr>
      </w:pPr>
    </w:p>
    <w:p>
      <w:pPr>
        <w:keepNext w:val="0"/>
        <w:keepLines w:val="0"/>
        <w:pageBreakBefore w:val="0"/>
        <w:widowControl w:val="0"/>
        <w:kinsoku/>
        <w:wordWrap w:val="0"/>
        <w:overflowPunct/>
        <w:topLinePunct w:val="0"/>
        <w:autoSpaceDE/>
        <w:autoSpaceDN/>
        <w:bidi w:val="0"/>
        <w:adjustRightInd/>
        <w:snapToGrid/>
        <w:spacing w:line="288" w:lineRule="auto"/>
        <w:jc w:val="right"/>
        <w:textAlignment w:val="auto"/>
        <w:rPr>
          <w:rFonts w:hint="eastAsia"/>
          <w:sz w:val="21"/>
          <w:szCs w:val="21"/>
          <w:lang w:val="en-US" w:eastAsia="zh-CN"/>
        </w:rPr>
      </w:pPr>
      <w:r>
        <w:rPr>
          <w:rFonts w:hint="eastAsia"/>
          <w:sz w:val="21"/>
          <w:szCs w:val="21"/>
          <w:lang w:val="en-US" w:eastAsia="zh-CN"/>
        </w:rPr>
        <w:t xml:space="preserve">——林宣雄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1"/>
          <w:szCs w:val="21"/>
          <w:lang w:val="en-US" w:eastAsia="zh-CN"/>
        </w:rPr>
      </w:pPr>
    </w:p>
    <w:p>
      <w:pPr>
        <w:rPr>
          <w:rFonts w:hint="default"/>
          <w:sz w:val="21"/>
          <w:szCs w:val="21"/>
          <w:lang w:val="en-US" w:eastAsia="zh-CN"/>
        </w:rPr>
      </w:pPr>
      <w:r>
        <w:rPr>
          <w:rFonts w:hint="default"/>
          <w:sz w:val="21"/>
          <w:szCs w:val="21"/>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服务运营部的文化建设</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sz w:val="21"/>
          <w:szCs w:val="21"/>
          <w:lang w:val="en-US" w:eastAsia="zh-CN"/>
        </w:rPr>
      </w:pPr>
      <w:r>
        <w:rPr>
          <w:rFonts w:hint="default"/>
          <w:b/>
          <w:bCs/>
          <w:sz w:val="21"/>
          <w:szCs w:val="21"/>
          <w:lang w:val="en-US" w:eastAsia="zh-CN"/>
        </w:rPr>
        <w:t>愿景：</w:t>
      </w:r>
      <w:r>
        <w:rPr>
          <w:rFonts w:hint="default"/>
          <w:sz w:val="21"/>
          <w:szCs w:val="21"/>
          <w:lang w:val="en-US" w:eastAsia="zh-CN"/>
        </w:rPr>
        <w:t>让所有智慧服务于环保。</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r>
        <w:rPr>
          <w:rFonts w:hint="default"/>
          <w:b/>
          <w:bCs/>
          <w:sz w:val="21"/>
          <w:szCs w:val="21"/>
          <w:lang w:val="en-US" w:eastAsia="zh-CN"/>
        </w:rPr>
        <w:t>使命：</w:t>
      </w:r>
      <w:r>
        <w:rPr>
          <w:rFonts w:hint="default"/>
          <w:sz w:val="21"/>
          <w:szCs w:val="21"/>
          <w:lang w:val="en-US" w:eastAsia="zh-CN"/>
        </w:rPr>
        <w:t>成为中国最专业的环保服务运营商</w:t>
      </w:r>
      <w:r>
        <w:rPr>
          <w:rFonts w:hint="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sz w:val="21"/>
          <w:szCs w:val="21"/>
          <w:lang w:val="en-US" w:eastAsia="zh-CN"/>
        </w:rPr>
      </w:pPr>
      <w:r>
        <w:rPr>
          <w:rFonts w:hint="eastAsia"/>
          <w:b/>
          <w:bCs/>
          <w:sz w:val="21"/>
          <w:szCs w:val="21"/>
          <w:lang w:val="en-US" w:eastAsia="zh-CN"/>
        </w:rPr>
        <w:t xml:space="preserve">价值观：  </w:t>
      </w:r>
      <w:r>
        <w:rPr>
          <w:rFonts w:hint="eastAsia"/>
          <w:sz w:val="21"/>
          <w:szCs w:val="21"/>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责任：</w:t>
      </w:r>
      <w:r>
        <w:rPr>
          <w:rFonts w:hint="default"/>
          <w:sz w:val="21"/>
          <w:szCs w:val="21"/>
          <w:lang w:val="en-US" w:eastAsia="zh-CN"/>
        </w:rPr>
        <w:t>主动、积极、担当</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专业：</w:t>
      </w:r>
      <w:r>
        <w:rPr>
          <w:rFonts w:hint="default"/>
          <w:sz w:val="21"/>
          <w:szCs w:val="21"/>
          <w:lang w:val="en-US" w:eastAsia="zh-CN"/>
        </w:rPr>
        <w:t>团队管理标准化、业务技能专业化、言行举止职业化</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协作：</w:t>
      </w:r>
      <w:r>
        <w:rPr>
          <w:rFonts w:hint="default"/>
          <w:sz w:val="21"/>
          <w:szCs w:val="21"/>
          <w:lang w:val="en-US" w:eastAsia="zh-CN"/>
        </w:rPr>
        <w:t>共赢的思想、彼此的信任、高效的协作</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default"/>
          <w:b/>
          <w:bCs/>
          <w:sz w:val="21"/>
          <w:szCs w:val="21"/>
          <w:lang w:val="en-US" w:eastAsia="zh-CN"/>
        </w:rPr>
      </w:pPr>
      <w:r>
        <w:rPr>
          <w:rFonts w:hint="eastAsia"/>
          <w:b/>
          <w:bCs/>
          <w:sz w:val="21"/>
          <w:szCs w:val="21"/>
          <w:lang w:val="en-US" w:eastAsia="zh-CN"/>
        </w:rPr>
        <w:t>我们的责任</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对社会：</w:t>
      </w:r>
      <w:r>
        <w:rPr>
          <w:rFonts w:hint="default"/>
          <w:sz w:val="21"/>
          <w:szCs w:val="21"/>
          <w:lang w:val="en-US" w:eastAsia="zh-CN"/>
        </w:rPr>
        <w:t>我们希望通过自身的不懈努力，以创新的姿态、用先进的技术、服务理念不断提供面向未来的环保解决方案，促进环境管理手段的变革，为生态文明建设做出贡献！</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对公司：</w:t>
      </w:r>
      <w:r>
        <w:rPr>
          <w:rFonts w:hint="default"/>
          <w:sz w:val="21"/>
          <w:szCs w:val="21"/>
          <w:lang w:val="en-US" w:eastAsia="zh-CN"/>
        </w:rPr>
        <w:t>我们以2G服务为立足点，全面开拓2b市场，继而推动2c市场，逐步为公司形成产品和服务市场的规模化优势，实现客户由点到面的发展，深耕环保行业，成为公司未来战略方向的实践者。</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对客户：</w:t>
      </w:r>
      <w:r>
        <w:rPr>
          <w:rFonts w:hint="default"/>
          <w:sz w:val="21"/>
          <w:szCs w:val="21"/>
          <w:lang w:val="en-US" w:eastAsia="zh-CN"/>
        </w:rPr>
        <w:t>我们致力于环保行业，以20年的丰富经验为客户解决痛点和优质体验的服务产品，用心满足客户变化，发展的诉求，不断为客户创造价值。用专业化服务，提升客户满意度，赢得客户信赖！</w:t>
      </w:r>
    </w:p>
    <w:p>
      <w:pPr>
        <w:keepNext w:val="0"/>
        <w:keepLines w:val="0"/>
        <w:pageBreakBefore w:val="0"/>
        <w:widowControl w:val="0"/>
        <w:numPr>
          <w:ilvl w:val="0"/>
          <w:numId w:val="1"/>
        </w:numPr>
        <w:kinsoku/>
        <w:wordWrap/>
        <w:overflowPunct/>
        <w:topLinePunct w:val="0"/>
        <w:autoSpaceDE/>
        <w:autoSpaceDN/>
        <w:bidi w:val="0"/>
        <w:adjustRightInd/>
        <w:snapToGrid/>
        <w:spacing w:line="288" w:lineRule="auto"/>
        <w:ind w:left="420" w:leftChars="0" w:hanging="420" w:firstLineChars="0"/>
        <w:jc w:val="left"/>
        <w:textAlignment w:val="auto"/>
        <w:rPr>
          <w:rFonts w:hint="default"/>
          <w:sz w:val="21"/>
          <w:szCs w:val="21"/>
          <w:lang w:val="en-US" w:eastAsia="zh-CN"/>
        </w:rPr>
      </w:pPr>
      <w:r>
        <w:rPr>
          <w:rFonts w:hint="default"/>
          <w:b/>
          <w:bCs/>
          <w:sz w:val="21"/>
          <w:szCs w:val="21"/>
          <w:lang w:val="en-US" w:eastAsia="zh-CN"/>
        </w:rPr>
        <w:t>对员工：</w:t>
      </w:r>
      <w:r>
        <w:rPr>
          <w:rFonts w:hint="default"/>
          <w:sz w:val="21"/>
          <w:szCs w:val="21"/>
          <w:lang w:val="en-US" w:eastAsia="zh-CN"/>
        </w:rPr>
        <w:t>在环保产业快速发展的形势下，我们为员工打造环保领域专业化的成长平台，逐步提升员工认知层次，使员工具有稀缺性的竞争力，帮助员工实现自我价值，从而获得快乐和成就感。</w:t>
      </w:r>
    </w:p>
    <w:p>
      <w:pPr>
        <w:rPr>
          <w:rFonts w:hint="default"/>
          <w:sz w:val="21"/>
          <w:szCs w:val="21"/>
          <w:lang w:val="en-US" w:eastAsia="zh-CN"/>
        </w:rPr>
      </w:pPr>
      <w:r>
        <w:rPr>
          <w:rFonts w:hint="default"/>
          <w:sz w:val="21"/>
          <w:szCs w:val="21"/>
          <w:lang w:val="en-US" w:eastAsia="zh-CN"/>
        </w:rPr>
        <w:br w:type="page"/>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b w:val="0"/>
          <w:bCs w:val="0"/>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目 录</w:t>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sz w:val="21"/>
          <w:szCs w:val="21"/>
          <w:lang w:val="en-US" w:eastAsia="zh-CN"/>
        </w:rPr>
        <w:sectPr>
          <w:pgSz w:w="7370" w:h="10431"/>
          <w:pgMar w:top="567" w:right="567" w:bottom="567" w:left="567" w:header="851" w:footer="992" w:gutter="0"/>
          <w:paperSrc/>
          <w:cols w:space="0" w:num="1"/>
          <w:rtlGutter w:val="0"/>
          <w:docGrid w:type="lines" w:linePitch="320" w:charSpace="0"/>
        </w:sectPr>
      </w:pP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公司及部门介绍</w:t>
      </w:r>
    </w:p>
    <w:p>
      <w:pPr>
        <w:keepNext w:val="0"/>
        <w:keepLines w:val="0"/>
        <w:pageBreakBefore w:val="0"/>
        <w:widowControl w:val="0"/>
        <w:numPr>
          <w:numId w:val="0"/>
        </w:numPr>
        <w:kinsoku/>
        <w:wordWrap/>
        <w:overflowPunct/>
        <w:topLinePunct w:val="0"/>
        <w:autoSpaceDE/>
        <w:autoSpaceDN/>
        <w:bidi w:val="0"/>
        <w:adjustRightInd/>
        <w:snapToGrid/>
        <w:spacing w:line="288" w:lineRule="auto"/>
        <w:jc w:val="both"/>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1、长天长介绍</w:t>
      </w:r>
    </w:p>
    <w:p>
      <w:pPr>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default"/>
          <w:sz w:val="21"/>
          <w:szCs w:val="21"/>
          <w:lang w:val="en-US" w:eastAsia="zh-CN"/>
        </w:rPr>
      </w:pPr>
      <w:r>
        <w:rPr>
          <w:rFonts w:hint="default"/>
          <w:sz w:val="21"/>
          <w:szCs w:val="21"/>
          <w:lang w:val="en-US" w:eastAsia="zh-CN"/>
        </w:rPr>
        <w:t>西安长天长软件股份有限公司，是环保部指定的软件研发基地和战略合作单位，是国家级环保科技园重点骨干企业，是股价两项环保标准编制参与单位，是西安市优秀高新技术企业。公司全面通过了ISO9001质量体系认证，拥有50多项自主知识产权、技术专利和60余种软硬件产品，其中重点污染源在线自动监控系统排污费征收管理系统是两项国家级产品；产品遍及全国30个省市自治区、300多哥城市的环保部门。以“技术进步促进中国环保事业的变革”为发展理念，以信息化的“智慧环保”为发展战略，全面服务于环境保护事业。“尝到环境文明、引领数字环保、守护自己的家园”是公司不懈努力的追求！</w:t>
      </w:r>
    </w:p>
    <w:p>
      <w:pPr>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default"/>
          <w:sz w:val="21"/>
          <w:szCs w:val="21"/>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32"/>
          <w:szCs w:val="32"/>
        </w:rPr>
      </w:pPr>
      <w:r>
        <w:rPr>
          <w:rFonts w:hint="eastAsia" w:ascii="楷体" w:hAnsi="楷体" w:eastAsia="楷体" w:cs="楷体"/>
          <w:b/>
          <w:bCs/>
          <w:sz w:val="32"/>
          <w:szCs w:val="32"/>
        </w:rPr>
        <w:drawing>
          <wp:inline distT="0" distB="0" distL="114300" distR="114300">
            <wp:extent cx="3277870" cy="2110105"/>
            <wp:effectExtent l="0" t="0" r="24130" b="23495"/>
            <wp:docPr id="1" name="图片 1" descr="截屏2023-08-30 15.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8-30 15.49.54"/>
                    <pic:cNvPicPr>
                      <a:picLocks noChangeAspect="1"/>
                    </pic:cNvPicPr>
                  </pic:nvPicPr>
                  <pic:blipFill>
                    <a:blip r:embed="rId5"/>
                    <a:stretch>
                      <a:fillRect/>
                    </a:stretch>
                  </pic:blipFill>
                  <pic:spPr>
                    <a:xfrm>
                      <a:off x="0" y="0"/>
                      <a:ext cx="3277870" cy="2110105"/>
                    </a:xfrm>
                    <a:prstGeom prst="rect">
                      <a:avLst/>
                    </a:prstGeom>
                  </pic:spPr>
                </pic:pic>
              </a:graphicData>
            </a:graphic>
          </wp:inline>
        </w:drawing>
      </w:r>
    </w:p>
    <w:p>
      <w:pPr>
        <w:rPr>
          <w:rFonts w:hint="default" w:ascii="楷体" w:hAnsi="楷体" w:eastAsia="楷体" w:cs="楷体"/>
          <w:b/>
          <w:bCs/>
          <w:sz w:val="21"/>
          <w:szCs w:val="21"/>
          <w:lang w:val="en-US" w:eastAsia="zh-CN"/>
        </w:rPr>
      </w:pPr>
      <w:r>
        <w:rPr>
          <w:rFonts w:hint="default" w:ascii="楷体" w:hAnsi="楷体" w:eastAsia="楷体" w:cs="楷体"/>
          <w:b/>
          <w:bCs/>
          <w:sz w:val="21"/>
          <w:szCs w:val="21"/>
          <w:lang w:val="en-US" w:eastAsia="zh-CN"/>
        </w:rPr>
        <w:br w:type="page"/>
      </w: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服务运营部内部工作组织与划分（分工）</w:t>
      </w:r>
    </w:p>
    <w:p>
      <w:pPr>
        <w:keepNext w:val="0"/>
        <w:keepLines w:val="0"/>
        <w:pageBreakBefore w:val="0"/>
        <w:widowControl w:val="0"/>
        <w:numPr>
          <w:numId w:val="0"/>
        </w:numPr>
        <w:kinsoku/>
        <w:wordWrap/>
        <w:overflowPunct/>
        <w:topLinePunct w:val="0"/>
        <w:autoSpaceDE/>
        <w:autoSpaceDN/>
        <w:bidi w:val="0"/>
        <w:adjustRightInd/>
        <w:snapToGrid/>
        <w:spacing w:line="288" w:lineRule="auto"/>
        <w:jc w:val="center"/>
        <w:textAlignment w:val="auto"/>
        <w:rPr>
          <w:rFonts w:hint="eastAsia" w:ascii="楷体" w:hAnsi="楷体" w:eastAsia="楷体" w:cs="楷体"/>
          <w:b/>
          <w:bCs/>
          <w:sz w:val="32"/>
          <w:szCs w:val="32"/>
          <w:lang w:eastAsia="zh-CN"/>
        </w:rPr>
      </w:pPr>
      <w:r>
        <w:rPr>
          <w:rFonts w:hint="eastAsia" w:ascii="楷体" w:hAnsi="楷体" w:eastAsia="楷体" w:cs="楷体"/>
          <w:b/>
          <w:bCs/>
          <w:sz w:val="32"/>
          <w:szCs w:val="32"/>
          <w:lang w:eastAsia="zh-CN"/>
        </w:rPr>
        <w:drawing>
          <wp:inline distT="0" distB="0" distL="114300" distR="114300">
            <wp:extent cx="3660140" cy="2025015"/>
            <wp:effectExtent l="0" t="0" r="0" b="0"/>
            <wp:docPr id="3" name="图片 3" descr="截屏2023-08-30 17.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08-30 17.22.29"/>
                    <pic:cNvPicPr>
                      <a:picLocks noChangeAspect="1"/>
                    </pic:cNvPicPr>
                  </pic:nvPicPr>
                  <pic:blipFill>
                    <a:blip r:embed="rId6"/>
                    <a:srcRect l="6094" r="8653"/>
                    <a:stretch>
                      <a:fillRect/>
                    </a:stretch>
                  </pic:blipFill>
                  <pic:spPr>
                    <a:xfrm>
                      <a:off x="0" y="0"/>
                      <a:ext cx="3660140" cy="202501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88" w:lineRule="auto"/>
        <w:jc w:val="left"/>
        <w:textAlignment w:val="auto"/>
        <w:rPr>
          <w:rFonts w:hint="eastAsia" w:ascii="黑体" w:hAnsi="黑体" w:eastAsia="黑体" w:cs="黑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部门内部小组职责介绍</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辽吉黑蒙服务区域：</w:t>
      </w:r>
      <w:r>
        <w:rPr>
          <w:rFonts w:hint="eastAsia" w:ascii="宋体" w:hAnsi="宋体" w:eastAsia="宋体" w:cs="宋体"/>
          <w:b w:val="0"/>
          <w:bCs w:val="0"/>
          <w:sz w:val="21"/>
          <w:szCs w:val="21"/>
          <w:lang w:val="en-US" w:eastAsia="zh-CN"/>
        </w:rPr>
        <w:t>主要负责辽宁省、吉林省、黑龙江省、内蒙古自治区等地区的重点污染源自动监控平台服务运维工作和销售推广工作。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京津冀鲁</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主要负责北京市、天津市、山东省、河北省等地区的重点污染源自动监控平台服务运维工作和销售推广工作。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晋豫陕</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主要负责陕西省、山西省、河南省等地区的重点污染源自动监控平台服务运维工作和销售推广工作。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宁青甘新</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主要负责宁夏回族自治区、青海省、甘肃省、新疆维吾尔自治区等地区的重点污染源自动监控平台服务运维工作和销售推广工作。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云贵川渝</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主要负责云南省、贵州省、四川省、重庆市等地区的重点污染源自动监控平台服务运维工作和销售推广工作。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粤桂湘琼鄂</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主要负责广东省、广西壮族自治区、湖南省、湖北省、海南省等地区的重点污染源自动监控平台服务运维工作和销售推广工作。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浙闽赣</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主要负责浙江省、福建省、江西省等地区的重点污染源自动监控平台服务运维工作和销售推广工作。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苏皖沪</w:t>
      </w:r>
      <w:r>
        <w:rPr>
          <w:rFonts w:hint="eastAsia" w:ascii="宋体" w:hAnsi="宋体" w:eastAsia="宋体" w:cs="宋体"/>
          <w:b/>
          <w:bCs/>
          <w:sz w:val="21"/>
          <w:szCs w:val="21"/>
          <w:lang w:val="en-US" w:eastAsia="zh-CN"/>
        </w:rPr>
        <w:t>服务区域：</w:t>
      </w:r>
      <w:r>
        <w:rPr>
          <w:rFonts w:hint="eastAsia" w:ascii="宋体" w:hAnsi="宋体" w:eastAsia="宋体" w:cs="宋体"/>
          <w:b w:val="0"/>
          <w:bCs w:val="0"/>
          <w:sz w:val="21"/>
          <w:szCs w:val="21"/>
          <w:lang w:val="en-US" w:eastAsia="zh-CN"/>
        </w:rPr>
        <w:t>主要负责江苏省、安徽省、上海市等地区的重点污染源自动监控平台服务运维工作和销售推广工作。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服务管理组：</w:t>
      </w:r>
      <w:r>
        <w:rPr>
          <w:rFonts w:hint="eastAsia" w:ascii="宋体" w:hAnsi="宋体" w:eastAsia="宋体" w:cs="宋体"/>
          <w:b w:val="0"/>
          <w:bCs w:val="0"/>
          <w:sz w:val="21"/>
          <w:szCs w:val="21"/>
          <w:lang w:val="en-US" w:eastAsia="zh-CN"/>
        </w:rPr>
        <w:t>负责对接人力行政部处理部门内部的行政和人力方面的工作；负责对接财务部处理部门内部所有费用的工作；负责对接营销管理部和本部门内部的销售合同的统计和跟踪。</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培训组：</w:t>
      </w:r>
      <w:r>
        <w:rPr>
          <w:rFonts w:hint="eastAsia" w:ascii="宋体" w:hAnsi="宋体" w:eastAsia="宋体" w:cs="宋体"/>
          <w:b w:val="0"/>
          <w:bCs w:val="0"/>
          <w:sz w:val="21"/>
          <w:szCs w:val="21"/>
          <w:lang w:val="en-US" w:eastAsia="zh-CN"/>
        </w:rPr>
        <w:t>负责服务运营部内部的所有的培训，负责新员工入职培训的实施，负责部门内部的企业文化组织和实施。</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质量管理组：</w:t>
      </w:r>
      <w:r>
        <w:rPr>
          <w:rFonts w:hint="eastAsia" w:ascii="宋体" w:hAnsi="宋体" w:eastAsia="宋体" w:cs="宋体"/>
          <w:b w:val="0"/>
          <w:bCs w:val="0"/>
          <w:sz w:val="21"/>
          <w:szCs w:val="21"/>
          <w:lang w:val="en-US" w:eastAsia="zh-CN"/>
        </w:rPr>
        <w:t>负责部门内部企业级产品的质量监督、管理、考核；受理客户投诉，保障各产品的客户满意度达到公司要求。</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技术对接组：</w:t>
      </w:r>
      <w:r>
        <w:rPr>
          <w:rFonts w:hint="eastAsia" w:ascii="宋体" w:hAnsi="宋体" w:eastAsia="宋体" w:cs="宋体"/>
          <w:b w:val="0"/>
          <w:bCs w:val="0"/>
          <w:sz w:val="21"/>
          <w:szCs w:val="21"/>
          <w:lang w:val="en-US" w:eastAsia="zh-CN"/>
        </w:rPr>
        <w:t>负责为全国驻场运维工程师提供技术支持，帮助解决各类技术问题。负责对接公司的研发部门，保障各地方的技术和业务问题的顺利解决。</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部级服务组：</w:t>
      </w:r>
      <w:r>
        <w:rPr>
          <w:rFonts w:hint="eastAsia" w:ascii="宋体" w:hAnsi="宋体" w:eastAsia="宋体" w:cs="宋体"/>
          <w:b w:val="0"/>
          <w:bCs w:val="0"/>
          <w:sz w:val="21"/>
          <w:szCs w:val="21"/>
          <w:lang w:val="en-US" w:eastAsia="zh-CN"/>
        </w:rPr>
        <w:t>负责生态环境部级各类平台的运维工作，包含重点污染源自动监控平台管理端、企业端、督办系统、排查系统等软件。负责部级的各类服务器硬件的日常巡检和维护，以及生态环境部日常的数据报表工作。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产品运营推广组：</w:t>
      </w:r>
      <w:r>
        <w:rPr>
          <w:rFonts w:hint="eastAsia" w:ascii="宋体" w:hAnsi="宋体" w:eastAsia="宋体" w:cs="宋体"/>
          <w:b w:val="0"/>
          <w:bCs w:val="0"/>
          <w:sz w:val="21"/>
          <w:szCs w:val="21"/>
          <w:lang w:val="en-US" w:eastAsia="zh-CN"/>
        </w:rPr>
        <w:t>主要负责企业级产品的上线、运营、推广工作。负责协助区域销售人员支持2B产品的销售工作。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企业产品组：</w:t>
      </w:r>
      <w:r>
        <w:rPr>
          <w:rFonts w:hint="eastAsia" w:ascii="宋体" w:hAnsi="宋体" w:eastAsia="宋体" w:cs="宋体"/>
          <w:b w:val="0"/>
          <w:bCs w:val="0"/>
          <w:sz w:val="21"/>
          <w:szCs w:val="21"/>
          <w:lang w:val="en-US" w:eastAsia="zh-CN"/>
        </w:rPr>
        <w:t>主要负责部门内部2B产品的全生命周期的管理。支持协助推广销售人员和实施人员完成产品的相关工作。保障产品的售后质量。</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内部售前支持组：</w:t>
      </w:r>
      <w:r>
        <w:rPr>
          <w:rFonts w:hint="eastAsia" w:ascii="宋体" w:hAnsi="宋体" w:eastAsia="宋体" w:cs="宋体"/>
          <w:b w:val="0"/>
          <w:bCs w:val="0"/>
          <w:sz w:val="21"/>
          <w:szCs w:val="21"/>
          <w:lang w:val="en-US" w:eastAsia="zh-CN"/>
        </w:rPr>
        <w:t>主要负责部门内部所有的招投标文件、产品和项目的技术方案的撰写。协助推广销售人员完成项目和产品的招投标事情。</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bookmarkStart w:id="0" w:name="_GoBack"/>
      <w:bookmarkEnd w:id="0"/>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公司业务和产品介绍</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企业环保365服务：</w:t>
      </w:r>
      <w:r>
        <w:rPr>
          <w:rFonts w:hint="default" w:ascii="宋体" w:hAnsi="宋体" w:eastAsia="宋体" w:cs="宋体"/>
          <w:b w:val="0"/>
          <w:bCs w:val="0"/>
          <w:sz w:val="21"/>
          <w:szCs w:val="21"/>
          <w:lang w:val="en-US" w:eastAsia="zh-CN"/>
        </w:rPr>
        <w:t>基于企业自动监控数据和污染源监控值守服务云平台，安排经验丰富的专业工程师7×24小时对企业排污数据和工况进行在线监控分析，发现问题后第一时间以微信、网页、电话的形式向企业进行预警、报警通知，定期向企业提供周报、缺失统计等报表。企业可以第一时间进行处理，防止事件的发展扩大，减少企业的损失。</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培训产品：</w:t>
      </w:r>
      <w:r>
        <w:rPr>
          <w:rFonts w:hint="default" w:ascii="宋体" w:hAnsi="宋体" w:eastAsia="宋体" w:cs="宋体"/>
          <w:b w:val="0"/>
          <w:bCs w:val="0"/>
          <w:sz w:val="21"/>
          <w:szCs w:val="21"/>
          <w:lang w:val="en-US" w:eastAsia="zh-CN"/>
        </w:rPr>
        <w:t>以国家出台的政策为核心，结合企业实际情况为企业宣贯、解读、理解政策要求。防止企业在政策理解上有偏差，而造成的环境违规和违法的情况，帮助企业提高内部人员业务水平。</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企业环境综合管理系统：</w:t>
      </w:r>
      <w:r>
        <w:rPr>
          <w:rFonts w:hint="default" w:ascii="宋体" w:hAnsi="宋体" w:eastAsia="宋体" w:cs="宋体"/>
          <w:b w:val="0"/>
          <w:bCs w:val="0"/>
          <w:sz w:val="21"/>
          <w:szCs w:val="21"/>
          <w:lang w:val="en-US" w:eastAsia="zh-CN"/>
        </w:rPr>
        <w:t>旨在帮助大型企业、集团总部等用户对于下属企业进行全环境要素管理。系统以自动监控数据为基础、排污许可为核心，建立企业级环境管理监控系统，规避企业环境管理风险，提升集团环境管理效率，实现集团公司环保信息化业务统一。</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企业风控360服务：</w:t>
      </w:r>
      <w:r>
        <w:rPr>
          <w:rFonts w:hint="default" w:ascii="宋体" w:hAnsi="宋体" w:eastAsia="宋体" w:cs="宋体"/>
          <w:b w:val="0"/>
          <w:bCs w:val="0"/>
          <w:sz w:val="21"/>
          <w:szCs w:val="21"/>
          <w:lang w:val="en-US" w:eastAsia="zh-CN"/>
        </w:rPr>
        <w:t>以国家相关的政策要求为依据，派专业的工程师对企业现场进行全方位排查。帮着企业提前发现在线数据从产生、传输、标记全流程过程中的各类问题，并帮助企业及时整改，满足政策要求，提高企业环境管理水平，降低环境违法的风险。</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环境保护税服务产品：</w:t>
      </w:r>
      <w:r>
        <w:rPr>
          <w:rFonts w:hint="default" w:ascii="宋体" w:hAnsi="宋体" w:eastAsia="宋体" w:cs="宋体"/>
          <w:b w:val="0"/>
          <w:bCs w:val="0"/>
          <w:sz w:val="21"/>
          <w:szCs w:val="21"/>
          <w:lang w:val="en-US" w:eastAsia="zh-CN"/>
        </w:rPr>
        <w:t>根据环保税法，结合企业自身情况，选取按自动监控数据计算、按监督性监测数据计算、排污系数或物料衡算、抽样测算中的一种，进行环保税计算，供企业参考，以便科学有效的进行环保税的申报，为企业提供环保税咨询服务。</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易查通产品：</w:t>
      </w:r>
      <w:r>
        <w:rPr>
          <w:rFonts w:hint="default" w:ascii="宋体" w:hAnsi="宋体" w:eastAsia="宋体" w:cs="宋体"/>
          <w:b w:val="0"/>
          <w:bCs w:val="0"/>
          <w:sz w:val="21"/>
          <w:szCs w:val="21"/>
          <w:lang w:val="en-US" w:eastAsia="zh-CN"/>
        </w:rPr>
        <w:t xml:space="preserve"> 随着国家在环境执法方面的政策越来越多，执法队伍的要求也越来越严格，各地方执法人员的水平参差不齐，通过对各地环境执法人员的培训、实操、协助等方式，提高各地方执法人员的业务水平。</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非现场执法服务：</w:t>
      </w:r>
      <w:r>
        <w:rPr>
          <w:rFonts w:hint="default" w:ascii="宋体" w:hAnsi="宋体" w:eastAsia="宋体" w:cs="宋体"/>
          <w:b w:val="0"/>
          <w:bCs w:val="0"/>
          <w:sz w:val="21"/>
          <w:szCs w:val="21"/>
          <w:lang w:val="en-US" w:eastAsia="zh-CN"/>
        </w:rPr>
        <w:t>以自动监控数据为基础，参与视频、动态管控参数等多维度数据，经过线上分析之后，综合判断地方管辖企业的违法线索</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数采仪：</w:t>
      </w:r>
      <w:r>
        <w:rPr>
          <w:rFonts w:hint="default" w:ascii="宋体" w:hAnsi="宋体" w:eastAsia="宋体" w:cs="宋体"/>
          <w:b w:val="0"/>
          <w:bCs w:val="0"/>
          <w:sz w:val="21"/>
          <w:szCs w:val="21"/>
          <w:lang w:val="en-US" w:eastAsia="zh-CN"/>
        </w:rPr>
        <w:t>与各类企业污染源现场的监测仪器进行通讯，实现废水废气污染物监控数据、标记数据、仪器工作参数、设备运行状态、工况参数等实时上传各地方监控平台，满足HJ 212-2017/2005传输协议，具备多重数据补传功能，具备远程控制功能，具备三级安全管理权限功能，具有系统日志记录功能，具备有线无线自由切换功能，支持扩展和定制。</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在线自动监控服务解决方案：</w:t>
      </w:r>
      <w:r>
        <w:rPr>
          <w:rFonts w:hint="default" w:ascii="宋体" w:hAnsi="宋体" w:eastAsia="宋体" w:cs="宋体"/>
          <w:b w:val="0"/>
          <w:bCs w:val="0"/>
          <w:sz w:val="21"/>
          <w:szCs w:val="21"/>
          <w:lang w:val="en-US" w:eastAsia="zh-CN"/>
        </w:rPr>
        <w:t>为挖掘数据最大的价值，更好的支撑污染源自动监控工作，我们需要开展污染源自动监控服务工作，由专业技术人员保障系统正常运行，分析数据价值及应用。</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巡检项目：通过对当地环保执法机构派驻专业工程师的方式，支持当地的环境执法过程，帮助加强环境执法团队素质，完成当地环保执法的任务。</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生态环境大数据平台解决方案：</w:t>
      </w:r>
      <w:r>
        <w:rPr>
          <w:rFonts w:hint="default" w:ascii="宋体" w:hAnsi="宋体" w:eastAsia="宋体" w:cs="宋体"/>
          <w:b w:val="0"/>
          <w:bCs w:val="0"/>
          <w:sz w:val="21"/>
          <w:szCs w:val="21"/>
          <w:lang w:val="en-US" w:eastAsia="zh-CN"/>
        </w:rPr>
        <w:t>长天长生态环境大数据平台通过已经采集到的海量生态环境数据，利用大数据分析挖掘技术进行数据建模，发现隐藏在数据背后的规律和价值，实现对污染源管理、监督、监测的有效合力，为决策层提供准确、实时、易操作的科学决策依据。</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智慧环保解决方案：</w:t>
      </w:r>
      <w:r>
        <w:rPr>
          <w:rFonts w:hint="default" w:ascii="宋体" w:hAnsi="宋体" w:eastAsia="宋体" w:cs="宋体"/>
          <w:b w:val="0"/>
          <w:bCs w:val="0"/>
          <w:sz w:val="21"/>
          <w:szCs w:val="21"/>
          <w:lang w:val="en-US" w:eastAsia="zh-CN"/>
        </w:rPr>
        <w:t>智慧环保是数字环保系统的延伸和发展。它借助物联网与云计算技术，利用随时随地感知、测量、捕获和传递信息的设备、系统，实现环境信息数据的可视与互联互通；通过建立面向对象的业务应用系统。整合和分析海量的环境信息，实现人类社会与环境业务系统更深入的智能化，提供环境保护更智慧的决策。</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执法应用解决方案：</w:t>
      </w:r>
      <w:r>
        <w:rPr>
          <w:rFonts w:hint="default" w:ascii="宋体" w:hAnsi="宋体" w:eastAsia="宋体" w:cs="宋体"/>
          <w:b w:val="0"/>
          <w:bCs w:val="0"/>
          <w:sz w:val="21"/>
          <w:szCs w:val="21"/>
          <w:lang w:val="en-US" w:eastAsia="zh-CN"/>
        </w:rPr>
        <w:t>重点污染源督办服务工作平台+24小时值守中心服务，是一个便捷的云服务平台（saas平台），为环保局提供督办系统以及服务，方便环保局用户快速落实上级工作要求，快速填报各类核实结果，通过使用微信服务号、SAAS云服务等各种方式快速支撑各类督办填报工作。</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无人机（船）执法应用：</w:t>
      </w:r>
      <w:r>
        <w:rPr>
          <w:rFonts w:hint="default" w:ascii="宋体" w:hAnsi="宋体" w:eastAsia="宋体" w:cs="宋体"/>
          <w:b w:val="0"/>
          <w:bCs w:val="0"/>
          <w:sz w:val="21"/>
          <w:szCs w:val="21"/>
          <w:lang w:val="en-US" w:eastAsia="zh-CN"/>
        </w:rPr>
        <w:t>通过提供专业的无人机（船）监察执法系统，并使其作为常态化的环境监察执法手段，对监察区域环境进行实时监控，对污染问题进行实地取证。从而在加强环境监管执法能力建设的同时，运用现金的技术监控手段提升了环境监管执法效率。</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园区管理解决方案：</w:t>
      </w:r>
      <w:r>
        <w:rPr>
          <w:rFonts w:hint="default" w:ascii="宋体" w:hAnsi="宋体" w:eastAsia="宋体" w:cs="宋体"/>
          <w:b w:val="0"/>
          <w:bCs w:val="0"/>
          <w:sz w:val="21"/>
          <w:szCs w:val="21"/>
          <w:lang w:val="en-US" w:eastAsia="zh-CN"/>
        </w:rPr>
        <w:t>工业园区环境综合管理系统是利用物联网技术对园区内所有污染物进行全生命周期“监管”的信息化系统。通过大数据、数学建模等现金技术的综合应用，实现对园区内各类环境数据收集统计分析以及信息挖掘，有效指导园区环境管理业务工作的开展、提升园区科学决策水平，提高园区环境质量水平，促进园区经济和生态文明的相互协调发展。实现园区环境管理技术驱动数据——数据驱管理——管理驱动决策的整体目标。</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综合智力网格化解决方案：</w:t>
      </w:r>
      <w:r>
        <w:rPr>
          <w:rFonts w:hint="default" w:ascii="宋体" w:hAnsi="宋体" w:eastAsia="宋体" w:cs="宋体"/>
          <w:b w:val="0"/>
          <w:bCs w:val="0"/>
          <w:sz w:val="21"/>
          <w:szCs w:val="21"/>
          <w:lang w:val="en-US" w:eastAsia="zh-CN"/>
        </w:rPr>
        <w:t>是依据国家政策，以长天长平台为只技术支撑，采用分布式的多级部署，讲城市管理辖区进行全面、精准“网格化布点”，对每一格实施动态、全方位管理，形成数字化管理模式，从而建立一套精细、准确、规范的综合管理服务系统。政府通过网格化系统整个政务资源，为辖区内的居民提供主动、高效、有针对性的鼓舞，提高公共管理、综合服务的效率。</w:t>
      </w:r>
    </w:p>
    <w:p>
      <w:pPr>
        <w:keepNext w:val="0"/>
        <w:keepLines w:val="0"/>
        <w:pageBreakBefore w:val="0"/>
        <w:widowControl w:val="0"/>
        <w:numPr>
          <w:ilvl w:val="0"/>
          <w:numId w:val="5"/>
        </w:numPr>
        <w:kinsoku/>
        <w:wordWrap/>
        <w:overflowPunct/>
        <w:topLinePunct w:val="0"/>
        <w:autoSpaceDE/>
        <w:autoSpaceDN/>
        <w:bidi w:val="0"/>
        <w:adjustRightInd/>
        <w:snapToGrid/>
        <w:spacing w:line="288" w:lineRule="auto"/>
        <w:ind w:left="420" w:leftChars="0" w:hanging="420" w:firstLineChars="0"/>
        <w:jc w:val="left"/>
        <w:textAlignment w:val="auto"/>
        <w:rPr>
          <w:rFonts w:hint="default" w:ascii="宋体" w:hAnsi="宋体" w:eastAsia="宋体" w:cs="宋体"/>
          <w:b w:val="0"/>
          <w:bCs w:val="0"/>
          <w:sz w:val="21"/>
          <w:szCs w:val="21"/>
          <w:lang w:val="en-US" w:eastAsia="zh-CN"/>
        </w:rPr>
      </w:pPr>
      <w:r>
        <w:rPr>
          <w:rFonts w:hint="default" w:ascii="宋体" w:hAnsi="宋体" w:eastAsia="宋体" w:cs="宋体"/>
          <w:b/>
          <w:bCs/>
          <w:sz w:val="21"/>
          <w:szCs w:val="21"/>
          <w:lang w:val="en-US" w:eastAsia="zh-CN"/>
        </w:rPr>
        <w:t>面向环保的SAAS服务解决方案：</w:t>
      </w:r>
      <w:r>
        <w:rPr>
          <w:rFonts w:hint="default" w:ascii="宋体" w:hAnsi="宋体" w:eastAsia="宋体" w:cs="宋体"/>
          <w:b w:val="0"/>
          <w:bCs w:val="0"/>
          <w:sz w:val="21"/>
          <w:szCs w:val="21"/>
          <w:lang w:val="en-US" w:eastAsia="zh-CN"/>
        </w:rPr>
        <w:t>基于大数据和云计算的基础服务，通过对环境监控，生态水体、能源消耗等相关数据进行综合分析。为各个政府环保单位、企业用户和公众用户提供面向软件的环保服务，即面向环保的SAAS服务。</w:t>
      </w:r>
    </w:p>
    <w:p>
      <w:pPr>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br w:type="page"/>
      </w:r>
    </w:p>
    <w:p>
      <w:pPr>
        <w:keepNext w:val="0"/>
        <w:keepLines w:val="0"/>
        <w:pageBreakBefore w:val="0"/>
        <w:widowControl w:val="0"/>
        <w:numPr>
          <w:ilvl w:val="0"/>
          <w:numId w:val="2"/>
        </w:numPr>
        <w:kinsoku/>
        <w:wordWrap/>
        <w:overflowPunct/>
        <w:topLinePunct w:val="0"/>
        <w:autoSpaceDE/>
        <w:autoSpaceDN/>
        <w:bidi w:val="0"/>
        <w:adjustRightInd/>
        <w:snapToGrid/>
        <w:spacing w:line="288" w:lineRule="auto"/>
        <w:ind w:left="0" w:leftChars="0" w:firstLine="0" w:firstLineChars="0"/>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服务运营部相关制度及要求</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default"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考勤制度</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工作时间：</w:t>
      </w:r>
      <w:r>
        <w:rPr>
          <w:rFonts w:hint="eastAsia" w:ascii="宋体" w:hAnsi="宋体" w:eastAsia="宋体" w:cs="宋体"/>
          <w:b w:val="0"/>
          <w:bCs w:val="0"/>
          <w:sz w:val="21"/>
          <w:szCs w:val="21"/>
          <w:lang w:val="en-US" w:eastAsia="zh-CN"/>
        </w:rPr>
        <w:t>每个工作日工作时长为8小时，上午9：00-12：00，下午13：00-18：00。驻地人员工作时间参照所在环保局时间，总部人员参照公司考勤制度。</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考勤签到形式：</w:t>
      </w:r>
      <w:r>
        <w:rPr>
          <w:rFonts w:hint="eastAsia" w:ascii="宋体" w:hAnsi="宋体" w:eastAsia="宋体" w:cs="宋体"/>
          <w:b w:val="0"/>
          <w:bCs w:val="0"/>
          <w:sz w:val="21"/>
          <w:szCs w:val="21"/>
          <w:lang w:val="en-US" w:eastAsia="zh-CN"/>
        </w:rPr>
        <w:t>西安总部为指纹考勤或连接无线网络使用企业微信线上打卡，驻地人员暂钉钉打卡。</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出差和外出：</w:t>
      </w:r>
      <w:r>
        <w:rPr>
          <w:rFonts w:hint="eastAsia" w:ascii="宋体" w:hAnsi="宋体" w:eastAsia="宋体" w:cs="宋体"/>
          <w:b w:val="0"/>
          <w:bCs w:val="0"/>
          <w:sz w:val="21"/>
          <w:szCs w:val="21"/>
          <w:lang w:val="en-US" w:eastAsia="zh-CN"/>
        </w:rPr>
        <w:t>员工外出和出差，需在企业微信-工作台-审批-假勤模块登记</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上班迟到：</w:t>
      </w:r>
      <w:r>
        <w:rPr>
          <w:rFonts w:hint="eastAsia" w:ascii="宋体" w:hAnsi="宋体" w:eastAsia="宋体" w:cs="宋体"/>
          <w:b w:val="0"/>
          <w:bCs w:val="0"/>
          <w:sz w:val="21"/>
          <w:szCs w:val="21"/>
          <w:lang w:val="en-US" w:eastAsia="zh-CN"/>
        </w:rPr>
        <w:t>员工上班迟到分别按照迟到次数和迟到时间处罚，每次罚款10元，每分钟20元，考虑员工实际交通情况，每月员工可以有3次迟到免罚和累计迟到15分钟免罚。</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上班忘签：</w:t>
      </w:r>
      <w:r>
        <w:rPr>
          <w:rFonts w:hint="eastAsia" w:ascii="宋体" w:hAnsi="宋体" w:eastAsia="宋体" w:cs="宋体"/>
          <w:b w:val="0"/>
          <w:bCs w:val="0"/>
          <w:sz w:val="21"/>
          <w:szCs w:val="21"/>
          <w:lang w:val="en-US" w:eastAsia="zh-CN"/>
        </w:rPr>
        <w:t>总部人员：企业微信-工作台-审批-假勤相关-打卡补卡，提交补卡记录，同时需筛选3位证明人，驻外人员忘签报备至内勤处登记，一次忘签扣20元。</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上班早退：</w:t>
      </w:r>
      <w:r>
        <w:rPr>
          <w:rFonts w:hint="eastAsia" w:ascii="宋体" w:hAnsi="宋体" w:eastAsia="宋体" w:cs="宋体"/>
          <w:b w:val="0"/>
          <w:bCs w:val="0"/>
          <w:sz w:val="21"/>
          <w:szCs w:val="21"/>
          <w:lang w:val="en-US" w:eastAsia="zh-CN"/>
        </w:rPr>
        <w:t>员工上班早退，按照30元/分钟处罚</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旷工：</w:t>
      </w:r>
      <w:r>
        <w:rPr>
          <w:rFonts w:hint="eastAsia" w:ascii="宋体" w:hAnsi="宋体" w:eastAsia="宋体" w:cs="宋体"/>
          <w:b w:val="0"/>
          <w:bCs w:val="0"/>
          <w:sz w:val="21"/>
          <w:szCs w:val="21"/>
          <w:lang w:val="en-US" w:eastAsia="zh-CN"/>
        </w:rPr>
        <w:t>无故不出勤视为旷工，按2倍日工资处罚，年度旷工累计3天，公司有权予以辞退。</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考勤周期：</w:t>
      </w:r>
      <w:r>
        <w:rPr>
          <w:rFonts w:hint="eastAsia" w:ascii="宋体" w:hAnsi="宋体" w:eastAsia="宋体" w:cs="宋体"/>
          <w:b w:val="0"/>
          <w:bCs w:val="0"/>
          <w:sz w:val="21"/>
          <w:szCs w:val="21"/>
          <w:lang w:val="en-US" w:eastAsia="zh-CN"/>
        </w:rPr>
        <w:t>上月26-本月25日。</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请假流程：员工请假前应填写请假单，至企业微信-工作台-审批-假勤相关-请假 进行登记。</w:t>
      </w:r>
    </w:p>
    <w:p>
      <w:pPr>
        <w:keepNext w:val="0"/>
        <w:keepLines w:val="0"/>
        <w:pageBreakBefore w:val="0"/>
        <w:widowControl w:val="0"/>
        <w:numPr>
          <w:ilvl w:val="0"/>
          <w:numId w:val="6"/>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加班：</w:t>
      </w:r>
      <w:r>
        <w:rPr>
          <w:rFonts w:hint="eastAsia" w:ascii="宋体" w:hAnsi="宋体" w:eastAsia="宋体" w:cs="宋体"/>
          <w:b w:val="0"/>
          <w:bCs w:val="0"/>
          <w:sz w:val="21"/>
          <w:szCs w:val="21"/>
          <w:lang w:val="en-US" w:eastAsia="zh-CN"/>
        </w:rPr>
        <w:t>加班需先申请报备至各区域负责人，然后在企业微信工作台登记，工作日至20：30后视为加班，加班需要相应的考勤记录作为支持，加班详细补贴及规定参照考勤制度。</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以上规定及处罚办法详细规定参照 《西长[2017]27号 考勤管理办法》</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外派制度</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因工作需要将员工自入职城市派往其他城市。</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外派开始：</w:t>
      </w:r>
      <w:r>
        <w:rPr>
          <w:rFonts w:hint="eastAsia" w:ascii="宋体" w:hAnsi="宋体" w:eastAsia="宋体" w:cs="宋体"/>
          <w:b w:val="0"/>
          <w:bCs w:val="0"/>
          <w:sz w:val="21"/>
          <w:szCs w:val="21"/>
          <w:lang w:val="en-US" w:eastAsia="zh-CN"/>
        </w:rPr>
        <w:t>外派时间自到达目的地后三天开始计算，报备至内勤处确认外派开始时间及流程</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外派结束：</w:t>
      </w:r>
      <w:r>
        <w:rPr>
          <w:rFonts w:hint="eastAsia" w:ascii="宋体" w:hAnsi="宋体" w:eastAsia="宋体" w:cs="宋体"/>
          <w:b w:val="0"/>
          <w:bCs w:val="0"/>
          <w:sz w:val="21"/>
          <w:szCs w:val="21"/>
          <w:lang w:val="en-US" w:eastAsia="zh-CN"/>
        </w:rPr>
        <w:t>员工完成外派任务返回入职地，需在OA系统提交外派结束申请</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外派补贴：</w:t>
      </w:r>
      <w:r>
        <w:rPr>
          <w:rFonts w:hint="eastAsia" w:ascii="宋体" w:hAnsi="宋体" w:eastAsia="宋体" w:cs="宋体"/>
          <w:b w:val="0"/>
          <w:bCs w:val="0"/>
          <w:sz w:val="21"/>
          <w:szCs w:val="21"/>
          <w:lang w:val="en-US" w:eastAsia="zh-CN"/>
        </w:rPr>
        <w:t>外派补贴每月根据出勤核算，跟随工资按月发放。</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INCLUDEPICTURE \d "C:\\Users\\Administrator\\AppData\\Local\\Temp\\企业微信截图_16934482978446.png" \* MERGEFORMATINET </w:instrText>
      </w:r>
      <w:r>
        <w:rPr>
          <w:rFonts w:hint="eastAsia" w:ascii="宋体" w:hAnsi="宋体" w:eastAsia="宋体" w:cs="宋体"/>
          <w:sz w:val="28"/>
          <w:szCs w:val="28"/>
        </w:rPr>
        <w:fldChar w:fldCharType="separate"/>
      </w:r>
      <w:r>
        <w:rPr>
          <w:rFonts w:hint="eastAsia" w:ascii="宋体" w:hAnsi="宋体" w:eastAsia="宋体" w:cs="宋体"/>
          <w:sz w:val="28"/>
          <w:szCs w:val="28"/>
        </w:rPr>
        <w:drawing>
          <wp:inline distT="0" distB="0" distL="114300" distR="114300">
            <wp:extent cx="4159250" cy="1089660"/>
            <wp:effectExtent l="0" t="0" r="6350" b="254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7"/>
                    <a:stretch>
                      <a:fillRect/>
                    </a:stretch>
                  </pic:blipFill>
                  <pic:spPr>
                    <a:xfrm>
                      <a:off x="0" y="0"/>
                      <a:ext cx="4159250" cy="1089660"/>
                    </a:xfrm>
                    <a:prstGeom prst="rect">
                      <a:avLst/>
                    </a:prstGeom>
                    <a:noFill/>
                    <a:ln>
                      <a:noFill/>
                    </a:ln>
                  </pic:spPr>
                </pic:pic>
              </a:graphicData>
            </a:graphic>
          </wp:inline>
        </w:drawing>
      </w:r>
      <w:r>
        <w:rPr>
          <w:rFonts w:hint="eastAsia" w:ascii="宋体" w:hAnsi="宋体" w:eastAsia="宋体" w:cs="宋体"/>
          <w:sz w:val="28"/>
          <w:szCs w:val="28"/>
        </w:rPr>
        <w:fldChar w:fldCharType="end"/>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外派具体释义及制度参照《西长人字[2014]007号公司人员外派管理办法（暂行)》。</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外派登记路径：</w:t>
      </w:r>
      <w:r>
        <w:rPr>
          <w:rFonts w:hint="eastAsia" w:ascii="宋体" w:hAnsi="宋体" w:eastAsia="宋体" w:cs="宋体"/>
          <w:b w:val="0"/>
          <w:bCs w:val="0"/>
          <w:sz w:val="21"/>
          <w:szCs w:val="21"/>
          <w:lang w:val="en-US" w:eastAsia="zh-CN"/>
        </w:rPr>
        <w:t>外派开始--报备时间--由内勤或负责人0A系统提交外派开始审批抄送本人--审批通过--外派补贴计算（每月随工资发放）。</w:t>
      </w:r>
    </w:p>
    <w:p>
      <w:pPr>
        <w:keepNext w:val="0"/>
        <w:keepLines w:val="0"/>
        <w:pageBreakBefore w:val="0"/>
        <w:widowControl w:val="0"/>
        <w:numPr>
          <w:ilvl w:val="0"/>
          <w:numId w:val="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结束外派-报备内勤结束时间-0A系统-人事审批模块-外派结束申请。</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证书补贴</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证书具体名目分析见《西长人字[2013]003员工专项培训及证书津贴管理办法》</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0"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证书补贴申请路径：</w:t>
      </w:r>
      <w:r>
        <w:rPr>
          <w:rFonts w:hint="eastAsia" w:ascii="宋体" w:hAnsi="宋体" w:eastAsia="宋体" w:cs="宋体"/>
          <w:b w:val="0"/>
          <w:bCs w:val="0"/>
          <w:sz w:val="21"/>
          <w:szCs w:val="21"/>
          <w:lang w:val="en-US" w:eastAsia="zh-CN"/>
        </w:rPr>
        <w:t>联系人事登记报备证书名目--OA系统登记--人事模块--资质证书津贴申请提交--补贴发放（每月随工资发放）</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0" w:leftChars="0"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自带电脑补贴</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为方便办公，可自带电脑工作，每月给予150元补贴，仅需在OA系统申请一次即可，自带电脑管理办法参照《西长人字[2013]012市场营销人员自带笔记本电脑办公管理办法》</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自带电脑补贴申请路径：OA系统--人事模块--自带设备补贴（配置需填写：品牌/型号/处理器/内存/系统类型）--补贴发放（每月随工资发放）。</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财务制度</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员工因公离开驻地，去往其他城市视为出差，出差需提前申请区域经理或相关管理人员，然后在0A系统提交出差申请，出差完成后提交报销，出差制度及补贴参照《西长[2023]1号 国内差旅费开支标准规定》，详细填写规范参照《报销填写归范》。</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出差申请及报销填写路径：</w:t>
      </w:r>
      <w:r>
        <w:rPr>
          <w:rFonts w:hint="eastAsia" w:ascii="宋体" w:hAnsi="宋体" w:eastAsia="宋体" w:cs="宋体"/>
          <w:b w:val="0"/>
          <w:bCs w:val="0"/>
          <w:sz w:val="21"/>
          <w:szCs w:val="21"/>
          <w:lang w:val="en-US" w:eastAsia="zh-CN"/>
        </w:rPr>
        <w:t>OA系统--财务模块--日常费用报销--出差申请及费用预算单/报销单（差旅中产生的住宿费及交通费填写差旅单，其他费用均填写报销凭证整理表）。</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合同签订、评审、归档、立项流程及内容、回款、验收</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模板合同可直接在0A系统提交，非公司模板合同需先联系内勤进行线下评审，待评审通过后在OA系统提交；巡检，企业培训，风控及其他特殊项目均需进行立项。</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销售合同评审登记流程：</w:t>
      </w:r>
      <w:r>
        <w:rPr>
          <w:rFonts w:hint="eastAsia" w:ascii="宋体" w:hAnsi="宋体" w:eastAsia="宋体" w:cs="宋体"/>
          <w:b w:val="0"/>
          <w:bCs w:val="0"/>
          <w:sz w:val="21"/>
          <w:szCs w:val="21"/>
          <w:lang w:val="en-US" w:eastAsia="zh-CN"/>
        </w:rPr>
        <w:t>合同评审-合同电子版--发送内勤线下评审（模版合同直接提交线上评审）--销售合同评审表（无合同直接汇款的填写虚拟合同评审表）--审批通过-双方盖章合同纸质件提交财务（企业培训/风控/巡检/集成项目需要费用立项，立项填写立项预算表，财务对预算审核）--回款（回款关联合同）--开票--合同执行完毕（政府类合同需验收）。</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回款登记路径：</w:t>
      </w:r>
      <w:r>
        <w:rPr>
          <w:rFonts w:hint="eastAsia" w:ascii="宋体" w:hAnsi="宋体" w:eastAsia="宋体" w:cs="宋体"/>
          <w:b w:val="0"/>
          <w:bCs w:val="0"/>
          <w:sz w:val="21"/>
          <w:szCs w:val="21"/>
          <w:lang w:val="en-US" w:eastAsia="zh-CN"/>
        </w:rPr>
        <w:t>收款-财务OA系统推送合同回款事项表-填写合同关联及金额-提交。</w:t>
      </w:r>
    </w:p>
    <w:p>
      <w:pPr>
        <w:keepNext w:val="0"/>
        <w:keepLines w:val="0"/>
        <w:pageBreakBefore w:val="0"/>
        <w:widowControl w:val="0"/>
        <w:numPr>
          <w:ilvl w:val="0"/>
          <w:numId w:val="8"/>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发票开具路径：</w:t>
      </w:r>
      <w:r>
        <w:rPr>
          <w:rFonts w:hint="eastAsia" w:ascii="宋体" w:hAnsi="宋体" w:eastAsia="宋体" w:cs="宋体"/>
          <w:b w:val="0"/>
          <w:bCs w:val="0"/>
          <w:sz w:val="21"/>
          <w:szCs w:val="21"/>
          <w:lang w:val="en-US" w:eastAsia="zh-CN"/>
        </w:rPr>
        <w:t>OA系统-合同模块-收开发票-销售发票开具单</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销售合同具体填写规范参照《合同评审oa系统填写规范》。</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val="0"/>
          <w:bCs w:val="0"/>
          <w:sz w:val="21"/>
          <w:szCs w:val="21"/>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人员行为规范</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为规范部门人员在销售推广及合同实施中的规范性，加强管理员工在岗纪律，树立良好的企业形象，部门人员必须遵守以下纪律要求。</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不得违反法律、法规、规章禁止的事项，如泄密公司项目信息、泄露客户的工作秘密、泄密客户的数据、篡改企业在线监控数据等。</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禁止利用工作之便谋取个人利益，如借机收受索要财物、通过帮助企业造假、给企业通风报信与企业产生利益关系等。</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禁止以任何理由要求客户安排食宿、来回接送、派车、娱乐等事宜。</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在销售推广过程中，禁止员工通过对客户承诺有关超出公司职责范围的事宜从而实现销售目的的行为，如给客户承诺有效传输率排名等。</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在客户现场，应时刻注意自身立场，不得在客户面前谈论公司事宜，严禁将公司内部事宜牵扯到客户，如:给客户抱怨公司，并让客户给销售人员反馈，要求销售人员解决。</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严格遵守客户及公司的工作时间及纪律要求，遵守客户单位及公司相关管理制度。</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部门人员要具备较强的服务意识、团队协作意识，面对客户服务请求时，在个人无法达成时，应积极内部沟通，遵守部门各项工作流程，通力协作、互帮互助，想尽办法为达到客户要求。</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禁止以任何理由穿着随意去客户现场，例如：背心、短裤、拖鞋等。</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注意言行举止，禁止发表任何不利于客户和监管部门的言语，在与客户沟通过程中，应耐心听取客户意见和建议，不得顶撞、讽刺、挖苦客户，禁止与发生语言或肢体冲突。</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禁止在客户现场做与工作无关的事情，例如：玩游戏、看视频、听歌、抽烟、喝酒、嬉戏打闹等。</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禁止在服务客户的过程中推销与公司业务无关的产品。</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禁止在不经过客户同意的情况下，对客户现场进行拍照，并在公共媒体平台上进行传播。与客户一同外出时，除工作照外，其他活动一律不得拍照、录像，注意客户隐私保密。</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实施过程以服务为原则，保证客户满意度、体验感，禁止以高姿态、强制要求等态度对待客户。</w:t>
      </w:r>
    </w:p>
    <w:p>
      <w:pPr>
        <w:keepNext w:val="0"/>
        <w:keepLines w:val="0"/>
        <w:pageBreakBefore w:val="0"/>
        <w:widowControl w:val="0"/>
        <w:numPr>
          <w:ilvl w:val="0"/>
          <w:numId w:val="9"/>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现场巡检、检查实施过程中，若要操作或者拆卸现场仪器设备，必须经过客户同意、有客户陪同，禁止不经同意私自操作与拆卸。</w:t>
      </w:r>
    </w:p>
    <w:p>
      <w:pPr>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企业现场实施过程中，禁止一切违反企业现场管理规定的行为。</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eastAsia"/>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运维安全管理要求</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部门人员应树立良好的安全意识，只有时时刻刻将运维安全放在工作首位，才是安全运维的首要条件。部门人员还需要良好的技能，才能有效防范安全事件发生。一旦发生安全事件，需快速响应并上报部门解决，将损失降到最低，维护公司形象。</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运维安全防范措施</w:t>
      </w:r>
      <w:r>
        <w:rPr>
          <w:rFonts w:hint="eastAsia"/>
          <w:b/>
          <w:bCs/>
          <w:lang w:val="en-US" w:eastAsia="zh-CN"/>
        </w:rPr>
        <w:t>：</w:t>
      </w:r>
      <w:r>
        <w:rPr>
          <w:rFonts w:hint="default"/>
          <w:lang w:val="en-US" w:eastAsia="zh-CN"/>
        </w:rPr>
        <w:t>运维安全从安全培训、办公电脑防护、密码安全、运维过程安全、软件系统安全（含中间件）、操作系统安全、数据库及数据介质安全七个方面进行防范，详细措施见《运维安全管理制度》。</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名词释义</w:t>
      </w:r>
      <w:r>
        <w:rPr>
          <w:rFonts w:hint="eastAsia"/>
          <w:b/>
          <w:bCs/>
          <w:lang w:val="en-US" w:eastAsia="zh-CN"/>
        </w:rPr>
        <w:t>：</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textAlignment w:val="auto"/>
        <w:rPr>
          <w:rFonts w:hint="default"/>
          <w:lang w:val="en-US" w:eastAsia="zh-CN"/>
        </w:rPr>
      </w:pPr>
      <w:r>
        <w:rPr>
          <w:rFonts w:hint="default"/>
          <w:lang w:val="en-US" w:eastAsia="zh-CN"/>
        </w:rPr>
        <w:t>安全事件</w:t>
      </w:r>
      <w:r>
        <w:rPr>
          <w:rFonts w:hint="eastAsia"/>
          <w:lang w:val="en-US" w:eastAsia="zh-CN"/>
        </w:rPr>
        <w:t>：</w:t>
      </w:r>
      <w:r>
        <w:rPr>
          <w:rFonts w:hint="default"/>
          <w:lang w:val="en-US" w:eastAsia="zh-CN"/>
        </w:rPr>
        <w:t>指运维过程中指意外发生的系统安全事件，包括但不限于病毒感染、网络攻击等。</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应急处置：指在安全事件发生后，迅速采取相应的措施和步骤，限制事件扩大化，并恢复系统的正常运行状态。</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应急处置小组：经部门经理经过对安全事件初步了解后，紧急成立的小组，小组成员应包含参与协调解决安全事件的全体人员。</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b/>
          <w:bCs/>
          <w:lang w:val="en-US" w:eastAsia="zh-CN"/>
        </w:rPr>
      </w:pPr>
      <w:r>
        <w:rPr>
          <w:rFonts w:hint="default"/>
          <w:b/>
          <w:bCs/>
          <w:lang w:val="en-US" w:eastAsia="zh-CN"/>
        </w:rPr>
        <w:t>安全事件处置流程</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default"/>
          <w:lang w:val="en-US" w:eastAsia="zh-CN"/>
        </w:rPr>
      </w:pPr>
      <w:r>
        <w:drawing>
          <wp:inline distT="0" distB="0" distL="114300" distR="114300">
            <wp:extent cx="3967480" cy="2165985"/>
            <wp:effectExtent l="0" t="0" r="20320" b="184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3967480" cy="2165985"/>
                    </a:xfrm>
                    <a:prstGeom prst="rect">
                      <a:avLst/>
                    </a:prstGeom>
                    <a:noFill/>
                    <a:ln>
                      <a:noFill/>
                    </a:ln>
                  </pic:spPr>
                </pic:pic>
              </a:graphicData>
            </a:graphic>
          </wp:inline>
        </w:drawing>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b/>
          <w:bCs/>
          <w:lang w:val="en-US" w:eastAsia="zh-CN"/>
        </w:rPr>
      </w:pPr>
      <w:r>
        <w:rPr>
          <w:rFonts w:hint="default"/>
          <w:b/>
          <w:bCs/>
          <w:lang w:val="en-US" w:eastAsia="zh-CN"/>
        </w:rPr>
        <w:t>保密要求</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运维人员应严格遵守公司发布的《关于加强公司保密和商业信息安全的规定》（西长{2021}20号文）。</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另从运维及客户角度出发，还应遵守以下要求：</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1、不得对外单位人员泄露客户服务器账号密码、数据库密码、系统平台访问密码以及其他敏感信息。</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2、不得将客户工作材料、会议通知、下发文件以及其他保密资料对外发布或发送、拷贝给非本单位和客户人员。</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3、员工有义务对公司的内部资料、客户信息、业务数据进行保密，禁止员工将以上信息未经允许对外发布或发送、拷贝给非本单位和客户人员。</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pPr>
      <w:r>
        <w:rPr>
          <w:rFonts w:hint="default"/>
          <w:lang w:val="en-US" w:eastAsia="zh-CN"/>
        </w:rPr>
        <w:t>4、在现场巡检、检查实施过程中获取的资料、信息及后期编制的报告等，在未经客户允许的情况下，不得将对方提供的资料提交第三方。</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jc w:val="left"/>
        <w:textAlignment w:val="auto"/>
      </w:pPr>
    </w:p>
    <w:p>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黑体" w:hAnsi="黑体" w:eastAsia="黑体" w:cs="黑体"/>
          <w:lang w:val="en-US" w:eastAsia="zh-CN"/>
        </w:rPr>
      </w:pPr>
      <w:r>
        <w:rPr>
          <w:rFonts w:hint="eastAsia" w:ascii="黑体" w:hAnsi="黑体" w:eastAsia="黑体" w:cs="黑体"/>
          <w:lang w:val="en-US" w:eastAsia="zh-CN"/>
        </w:rPr>
        <w:t>员工培训</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培训形式：</w:t>
      </w:r>
      <w:r>
        <w:rPr>
          <w:rFonts w:hint="default"/>
          <w:lang w:val="en-US" w:eastAsia="zh-CN"/>
        </w:rPr>
        <w:t>线上视频培训、直播培训。线上视频培训在规定时间内完成率100%视为学习完成。直播培训100%观看记录为完成学习，本部人员以签到、签退两者都有记录，视为完成学习。</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考试：</w:t>
      </w:r>
      <w:r>
        <w:rPr>
          <w:rFonts w:hint="default"/>
          <w:lang w:val="en-US" w:eastAsia="zh-CN"/>
        </w:rPr>
        <w:t>分为日常考试和业务提升专项考试，日常考试为每次培训完成之后，有考试。业务专项提升考试以季度为周期展开考试。考试70分为及格线，整个答题时长1小时。业务提升专项考试，会给为参加考试、考试不及格的人安排补考。补考成绩作为最终成绩进行通报。</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lang w:val="en-US" w:eastAsia="zh-CN"/>
        </w:rPr>
        <w:t>奖励与考核：</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347"/>
        <w:gridCol w:w="1372"/>
        <w:gridCol w:w="1298"/>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95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考试分级</w:t>
            </w:r>
          </w:p>
        </w:tc>
        <w:tc>
          <w:tcPr>
            <w:tcW w:w="13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95分以上</w:t>
            </w:r>
          </w:p>
        </w:tc>
        <w:tc>
          <w:tcPr>
            <w:tcW w:w="137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90-94分</w:t>
            </w:r>
          </w:p>
        </w:tc>
        <w:tc>
          <w:tcPr>
            <w:tcW w:w="12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70分以下</w:t>
            </w:r>
          </w:p>
        </w:tc>
        <w:tc>
          <w:tcPr>
            <w:tcW w:w="132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缺勤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jc w:val="center"/>
        </w:trPr>
        <w:tc>
          <w:tcPr>
            <w:tcW w:w="95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金额</w:t>
            </w:r>
          </w:p>
        </w:tc>
        <w:tc>
          <w:tcPr>
            <w:tcW w:w="134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+200</w:t>
            </w:r>
          </w:p>
        </w:tc>
        <w:tc>
          <w:tcPr>
            <w:tcW w:w="1372"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w:t>
            </w:r>
          </w:p>
        </w:tc>
        <w:tc>
          <w:tcPr>
            <w:tcW w:w="129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-100</w:t>
            </w:r>
          </w:p>
        </w:tc>
        <w:tc>
          <w:tcPr>
            <w:tcW w:w="132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-200</w:t>
            </w:r>
          </w:p>
        </w:tc>
      </w:tr>
    </w:tbl>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textAlignment w:val="auto"/>
        <w:rPr>
          <w:rFonts w:hint="default"/>
          <w:lang w:val="en-US" w:eastAsia="zh-CN"/>
        </w:rPr>
      </w:pPr>
    </w:p>
    <w:tbl>
      <w:tblPr>
        <w:tblStyle w:val="8"/>
        <w:tblW w:w="0" w:type="auto"/>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1618"/>
        <w:gridCol w:w="1590"/>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trPr>
        <w:tc>
          <w:tcPr>
            <w:tcW w:w="1463"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培训</w:t>
            </w:r>
          </w:p>
        </w:tc>
        <w:tc>
          <w:tcPr>
            <w:tcW w:w="161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培训未参加</w:t>
            </w:r>
          </w:p>
        </w:tc>
        <w:tc>
          <w:tcPr>
            <w:tcW w:w="15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未完成学习</w:t>
            </w:r>
          </w:p>
        </w:tc>
        <w:tc>
          <w:tcPr>
            <w:tcW w:w="15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学习不达标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1463"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考核金额</w:t>
            </w:r>
          </w:p>
        </w:tc>
        <w:tc>
          <w:tcPr>
            <w:tcW w:w="161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-100</w:t>
            </w:r>
          </w:p>
        </w:tc>
        <w:tc>
          <w:tcPr>
            <w:tcW w:w="15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-50</w:t>
            </w:r>
          </w:p>
        </w:tc>
        <w:tc>
          <w:tcPr>
            <w:tcW w:w="15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-50</w:t>
            </w:r>
          </w:p>
        </w:tc>
      </w:tr>
    </w:tbl>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textAlignment w:val="auto"/>
        <w:rPr>
          <w:rFonts w:hint="default"/>
          <w:lang w:val="en-US" w:eastAsia="zh-CN"/>
        </w:rPr>
      </w:pP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线上视频培训和考试方式：</w:t>
      </w:r>
      <w:r>
        <w:rPr>
          <w:rFonts w:hint="default"/>
          <w:lang w:val="en-US" w:eastAsia="zh-CN"/>
        </w:rPr>
        <w:t>统一采用培训宝学习平台进行学习和考试</w:t>
      </w:r>
      <w:r>
        <w:rPr>
          <w:rFonts w:hint="eastAsia"/>
          <w:lang w:val="en-US" w:eastAsia="zh-CN"/>
        </w:rPr>
        <w:t>。</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学习考试地址：</w:t>
      </w:r>
      <w:r>
        <w:rPr>
          <w:rFonts w:hint="default"/>
          <w:lang w:val="en-US" w:eastAsia="zh-CN"/>
        </w:rPr>
        <w:t>企业微信-工作台-培训宝，或培训宝地址：</w:t>
      </w:r>
      <w:r>
        <w:rPr>
          <w:rFonts w:hint="default"/>
          <w:lang w:val="en-US" w:eastAsia="zh-CN"/>
        </w:rPr>
        <w:fldChar w:fldCharType="begin"/>
      </w:r>
      <w:r>
        <w:rPr>
          <w:rFonts w:hint="default"/>
          <w:lang w:val="en-US" w:eastAsia="zh-CN"/>
        </w:rPr>
        <w:instrText xml:space="preserve"> HYPERLINK "https://www.91pxb.com/?mod=marketing&amp;do=intro" </w:instrText>
      </w:r>
      <w:r>
        <w:rPr>
          <w:rFonts w:hint="default"/>
          <w:lang w:val="en-US" w:eastAsia="zh-CN"/>
        </w:rPr>
        <w:fldChar w:fldCharType="separate"/>
      </w:r>
      <w:r>
        <w:rPr>
          <w:rStyle w:val="10"/>
          <w:rFonts w:hint="default"/>
          <w:lang w:val="en-US" w:eastAsia="zh-CN"/>
        </w:rPr>
        <w:t>https://www.91pxb.com/?mod=marketing&amp;do=intro</w:t>
      </w:r>
      <w:r>
        <w:rPr>
          <w:rFonts w:hint="default"/>
          <w:lang w:val="en-US" w:eastAsia="zh-CN"/>
        </w:rPr>
        <w:fldChar w:fldCharType="end"/>
      </w:r>
      <w:r>
        <w:rPr>
          <w:rFonts w:hint="eastAsia"/>
          <w:lang w:val="en-US" w:eastAsia="zh-CN"/>
        </w:rPr>
        <w:t xml:space="preserve"> </w:t>
      </w:r>
      <w:r>
        <w:rPr>
          <w:rFonts w:hint="default"/>
          <w:lang w:val="en-US" w:eastAsia="zh-CN"/>
        </w:rPr>
        <w:t xml:space="preserve"> </w:t>
      </w:r>
    </w:p>
    <w:p>
      <w:pPr>
        <w:pStyle w:val="4"/>
        <w:keepNext w:val="0"/>
        <w:keepLines w:val="0"/>
        <w:pageBreakBefore w:val="0"/>
        <w:widowControl w:val="0"/>
        <w:numPr>
          <w:ilvl w:val="0"/>
          <w:numId w:val="10"/>
        </w:numPr>
        <w:kinsoku/>
        <w:wordWrap/>
        <w:overflowPunct/>
        <w:topLinePunct w:val="0"/>
        <w:autoSpaceDE/>
        <w:autoSpaceDN/>
        <w:bidi w:val="0"/>
        <w:adjustRightInd/>
        <w:snapToGrid/>
        <w:spacing w:line="288" w:lineRule="auto"/>
        <w:ind w:left="420" w:leftChars="0" w:hanging="420" w:firstLineChars="0"/>
        <w:textAlignment w:val="auto"/>
        <w:rPr>
          <w:rFonts w:hint="default"/>
          <w:lang w:val="en-US" w:eastAsia="zh-CN"/>
        </w:rPr>
      </w:pPr>
      <w:r>
        <w:rPr>
          <w:rFonts w:hint="default"/>
          <w:b/>
          <w:bCs/>
          <w:lang w:val="en-US" w:eastAsia="zh-CN"/>
        </w:rPr>
        <w:t>账号：</w:t>
      </w:r>
      <w:r>
        <w:rPr>
          <w:rFonts w:hint="default"/>
          <w:lang w:val="en-US" w:eastAsia="zh-CN"/>
        </w:rPr>
        <w:t>自己的手机号码。密码默认为qwer1234或123456.</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日常的学习资料均放在培训宝-微课中放置。</w:t>
      </w:r>
    </w:p>
    <w:p>
      <w:pPr>
        <w:rPr>
          <w:rFonts w:hint="default"/>
          <w:lang w:val="en-US" w:eastAsia="zh-CN"/>
        </w:rPr>
      </w:pPr>
      <w:r>
        <w:rPr>
          <w:rFonts w:hint="default"/>
          <w:lang w:val="en-US" w:eastAsia="zh-CN"/>
        </w:rPr>
        <w:br w:type="page"/>
      </w:r>
    </w:p>
    <w:p>
      <w:pPr>
        <w:pStyle w:val="4"/>
        <w:keepNext w:val="0"/>
        <w:keepLines w:val="0"/>
        <w:pageBreakBefore w:val="0"/>
        <w:widowControl w:val="0"/>
        <w:numPr>
          <w:ilvl w:val="0"/>
          <w:numId w:val="2"/>
        </w:numPr>
        <w:kinsoku/>
        <w:wordWrap/>
        <w:overflowPunct/>
        <w:topLinePunct w:val="0"/>
        <w:autoSpaceDE/>
        <w:autoSpaceDN/>
        <w:bidi w:val="0"/>
        <w:adjustRightInd/>
        <w:snapToGrid/>
        <w:spacing w:line="288" w:lineRule="auto"/>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服务运营部内部工作协调</w:t>
      </w: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技术服务及部级运维组</w:t>
      </w:r>
    </w:p>
    <w:p>
      <w:pPr>
        <w:pStyle w:val="4"/>
        <w:keepNext w:val="0"/>
        <w:keepLines w:val="0"/>
        <w:pageBreakBefore w:val="0"/>
        <w:widowControl w:val="0"/>
        <w:numPr>
          <w:ilvl w:val="0"/>
          <w:numId w:val="11"/>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lang w:val="en-US" w:eastAsia="zh-CN"/>
        </w:rPr>
        <w:t>工作内容相关</w:t>
      </w:r>
    </w:p>
    <w:tbl>
      <w:tblPr>
        <w:tblStyle w:val="7"/>
        <w:tblW w:w="6498" w:type="dxa"/>
        <w:jc w:val="center"/>
        <w:tblLayout w:type="autofit"/>
        <w:tblCellMar>
          <w:top w:w="0" w:type="dxa"/>
          <w:left w:w="108" w:type="dxa"/>
          <w:bottom w:w="0" w:type="dxa"/>
          <w:right w:w="108" w:type="dxa"/>
        </w:tblCellMar>
      </w:tblPr>
      <w:tblGrid>
        <w:gridCol w:w="883"/>
        <w:gridCol w:w="1872"/>
        <w:gridCol w:w="1970"/>
        <w:gridCol w:w="1773"/>
      </w:tblGrid>
      <w:tr>
        <w:trPr>
          <w:trHeight w:val="644"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对接工作项</w:t>
            </w:r>
          </w:p>
        </w:tc>
        <w:tc>
          <w:tcPr>
            <w:tcW w:w="18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技术对接组</w:t>
            </w:r>
          </w:p>
        </w:tc>
        <w:tc>
          <w:tcPr>
            <w:tcW w:w="197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部级运维组</w:t>
            </w:r>
          </w:p>
        </w:tc>
        <w:tc>
          <w:tcPr>
            <w:tcW w:w="177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流程规范</w:t>
            </w:r>
          </w:p>
        </w:tc>
      </w:tr>
      <w:tr>
        <w:trPr>
          <w:trHeight w:val="2230"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问题对接</w:t>
            </w:r>
          </w:p>
        </w:tc>
        <w:tc>
          <w:tcPr>
            <w:tcW w:w="1872"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省、市级自动监控系统问题包含自动监控系统管理端、企业端、电子督办、通讯入库、数据交换、数据库等程序部署、运行、升级过程中出现的问题；</w:t>
            </w:r>
          </w:p>
        </w:tc>
        <w:tc>
          <w:tcPr>
            <w:tcW w:w="1970"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部级自动监控系统问题包含自动监控系统管理端、企业端、垃圾焚烧电子督办、排查系统、工作调度平台、异常线索、省至部数据交换、通讯数据转发等问题；</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参考《服务运营部问题处理规范》</w:t>
            </w:r>
          </w:p>
        </w:tc>
      </w:tr>
      <w:tr>
        <w:trPr>
          <w:trHeight w:val="2230"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数据处理</w:t>
            </w:r>
          </w:p>
        </w:tc>
        <w:tc>
          <w:tcPr>
            <w:tcW w:w="3842" w:type="dxa"/>
            <w:gridSpan w:val="2"/>
            <w:tcBorders>
              <w:top w:val="single" w:color="auto" w:sz="4" w:space="0"/>
              <w:left w:val="nil"/>
              <w:bottom w:val="single" w:color="auto" w:sz="4" w:space="0"/>
              <w:right w:val="single" w:color="000000"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数据处理指软件bug、升级、旧版本系统功能缺陷、客户操作不当、企业合并/拆分、企业所属机构变更、行政区划变更、数据交换等原因导致的，必须经过在后台数据库中处理才能解决的运维问题；</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参考《服务运营部数据处理规范》服务单处理过程需要进行数据处理需要联系技术对接组人员在企业微信上进行数据处理申请</w:t>
            </w:r>
          </w:p>
        </w:tc>
      </w:tr>
      <w:tr>
        <w:trPr>
          <w:trHeight w:val="3092"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系统升级</w:t>
            </w:r>
          </w:p>
        </w:tc>
        <w:tc>
          <w:tcPr>
            <w:tcW w:w="1872"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升级任务指技术对接组日常发布自动监控系统（省、市级）相关的程序及补丁发布后技术服务工程师（驻地）需要按要求及时完成升级任务；系统升级通常在业务群（详见附件2）中发布升级通知，并在升级记录文档（详见附件1）中进行标记。</w:t>
            </w:r>
          </w:p>
        </w:tc>
        <w:tc>
          <w:tcPr>
            <w:tcW w:w="1970"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部级系统升级任务由部级服务组人员完成。重大更新前会在对应业务群进行升级通知。</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参考系统升级流程</w:t>
            </w:r>
          </w:p>
        </w:tc>
      </w:tr>
      <w:tr>
        <w:trPr>
          <w:trHeight w:val="1279"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数据统计</w:t>
            </w:r>
          </w:p>
        </w:tc>
        <w:tc>
          <w:tcPr>
            <w:tcW w:w="1872"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数据统计需求指日常工作中客户要求的各类报表或数据统计的数据脚本；</w:t>
            </w:r>
          </w:p>
        </w:tc>
        <w:tc>
          <w:tcPr>
            <w:tcW w:w="1970"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数据统计需求指日常工作中客户要求的部级系统相关数据统计结果；</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参考《服务运营部问题处理规范》特殊情况需补充纸质任务单</w:t>
            </w:r>
          </w:p>
        </w:tc>
      </w:tr>
      <w:tr>
        <w:trPr>
          <w:trHeight w:val="1596"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网络排查</w:t>
            </w:r>
          </w:p>
        </w:tc>
        <w:tc>
          <w:tcPr>
            <w:tcW w:w="1872" w:type="dxa"/>
            <w:tcBorders>
              <w:top w:val="nil"/>
              <w:left w:val="nil"/>
              <w:bottom w:val="single" w:color="auto" w:sz="4" w:space="0"/>
              <w:right w:val="single" w:color="auto" w:sz="4" w:space="0"/>
              <w:tl2br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970"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网络排查指部、省、市级自动监控系统数据交换、报文转发及端口访问中需要排查配合的网络问题。</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参考《服务运营部问题处理规范》</w:t>
            </w:r>
          </w:p>
        </w:tc>
      </w:tr>
      <w:tr>
        <w:trPr>
          <w:trHeight w:val="644"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系统漏洞</w:t>
            </w:r>
          </w:p>
        </w:tc>
        <w:tc>
          <w:tcPr>
            <w:tcW w:w="3842" w:type="dxa"/>
            <w:gridSpan w:val="2"/>
            <w:tcBorders>
              <w:top w:val="single" w:color="auto" w:sz="4" w:space="0"/>
              <w:left w:val="nil"/>
              <w:bottom w:val="single" w:color="auto" w:sz="4" w:space="0"/>
              <w:right w:val="single" w:color="000000"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系统漏洞修复指自动监控系统出现的安全漏洞修复；</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参考《服务运营部问题处理规范》</w:t>
            </w:r>
          </w:p>
        </w:tc>
      </w:tr>
      <w:tr>
        <w:trPr>
          <w:trHeight w:val="1279"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等保安全评测</w:t>
            </w:r>
          </w:p>
        </w:tc>
        <w:tc>
          <w:tcPr>
            <w:tcW w:w="1872"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系统等保安全评测指配合客户对自动监控系统进行信息系统等保测评。</w:t>
            </w:r>
          </w:p>
        </w:tc>
        <w:tc>
          <w:tcPr>
            <w:tcW w:w="1970" w:type="dxa"/>
            <w:tcBorders>
              <w:top w:val="nil"/>
              <w:left w:val="nil"/>
              <w:bottom w:val="single" w:color="auto" w:sz="4" w:space="0"/>
              <w:right w:val="single" w:color="auto" w:sz="4" w:space="0"/>
              <w:tl2br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参考《服务运营部问题处理规范》</w:t>
            </w:r>
          </w:p>
        </w:tc>
      </w:tr>
      <w:tr>
        <w:trPr>
          <w:trHeight w:val="971" w:hRule="atLeast"/>
          <w:jc w:val="center"/>
        </w:trPr>
        <w:tc>
          <w:tcPr>
            <w:tcW w:w="88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授权文件申请</w:t>
            </w:r>
          </w:p>
        </w:tc>
        <w:tc>
          <w:tcPr>
            <w:tcW w:w="1872"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系统部署时需要申请系统正版认证文件license</w:t>
            </w:r>
          </w:p>
        </w:tc>
        <w:tc>
          <w:tcPr>
            <w:tcW w:w="1970" w:type="dxa"/>
            <w:tcBorders>
              <w:top w:val="nil"/>
              <w:left w:val="nil"/>
              <w:bottom w:val="single" w:color="auto" w:sz="4" w:space="0"/>
              <w:right w:val="single" w:color="auto" w:sz="4" w:space="0"/>
              <w:tl2br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773" w:type="dxa"/>
            <w:tcBorders>
              <w:top w:val="nil"/>
              <w:left w:val="nil"/>
              <w:bottom w:val="single" w:color="auto" w:sz="4" w:space="0"/>
              <w:right w:val="single" w:color="auto" w:sz="4" w:space="0"/>
            </w:tcBorders>
            <w:shd w:val="clear" w:color="auto" w:fill="auto"/>
          </w:tcPr>
          <w:p>
            <w:pPr>
              <w:widowControl/>
              <w:jc w:val="left"/>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使用企业微信申请</w:t>
            </w:r>
          </w:p>
        </w:tc>
      </w:tr>
    </w:tbl>
    <w:p>
      <w:pPr>
        <w:pStyle w:val="3"/>
        <w:keepNext/>
        <w:keepLines/>
        <w:pageBreakBefore w:val="0"/>
        <w:widowControl w:val="0"/>
        <w:numPr>
          <w:ilvl w:val="0"/>
          <w:numId w:val="11"/>
        </w:numPr>
        <w:kinsoku/>
        <w:wordWrap/>
        <w:overflowPunct/>
        <w:topLinePunct w:val="0"/>
        <w:autoSpaceDE/>
        <w:autoSpaceDN/>
        <w:bidi w:val="0"/>
        <w:adjustRightInd/>
        <w:snapToGrid/>
        <w:spacing w:line="288" w:lineRule="auto"/>
        <w:ind w:left="420" w:leftChars="0" w:hanging="420" w:firstLineChars="0"/>
        <w:textAlignment w:val="auto"/>
        <w:rPr>
          <w:rFonts w:hint="eastAsia" w:ascii="宋体" w:hAnsi="宋体" w:eastAsia="宋体"/>
          <w:sz w:val="21"/>
          <w:szCs w:val="21"/>
        </w:rPr>
      </w:pPr>
      <w:r>
        <w:rPr>
          <w:rFonts w:hint="eastAsia" w:ascii="宋体" w:hAnsi="宋体" w:eastAsia="宋体"/>
          <w:sz w:val="21"/>
          <w:szCs w:val="21"/>
        </w:rPr>
        <w:t>流程图：</w:t>
      </w:r>
    </w:p>
    <w:p>
      <w:pPr>
        <w:pStyle w:val="3"/>
        <w:keepNext/>
        <w:keepLines/>
        <w:pageBreakBefore w:val="0"/>
        <w:widowControl w:val="0"/>
        <w:numPr>
          <w:numId w:val="0"/>
        </w:numPr>
        <w:kinsoku/>
        <w:wordWrap/>
        <w:overflowPunct/>
        <w:topLinePunct w:val="0"/>
        <w:autoSpaceDE/>
        <w:autoSpaceDN/>
        <w:bidi w:val="0"/>
        <w:adjustRightInd/>
        <w:snapToGrid/>
        <w:spacing w:line="288" w:lineRule="auto"/>
        <w:textAlignment w:val="auto"/>
        <w:rPr>
          <w:rFonts w:hint="eastAsia" w:ascii="宋体" w:hAnsi="宋体" w:eastAsia="宋体"/>
          <w:b/>
          <w:bCs/>
          <w:sz w:val="21"/>
          <w:szCs w:val="21"/>
        </w:rPr>
      </w:pPr>
      <w:r>
        <w:rPr>
          <w:rFonts w:hint="eastAsia" w:ascii="宋体" w:hAnsi="宋体" w:eastAsia="宋体"/>
          <w:b/>
          <w:bCs/>
          <w:sz w:val="21"/>
          <w:szCs w:val="21"/>
          <w:lang w:val="en-US" w:eastAsia="zh-CN"/>
        </w:rPr>
        <w:t>1、</w:t>
      </w:r>
      <w:r>
        <w:rPr>
          <w:rFonts w:hint="eastAsia" w:ascii="宋体" w:hAnsi="宋体" w:eastAsia="宋体"/>
          <w:b/>
          <w:bCs/>
          <w:sz w:val="21"/>
          <w:szCs w:val="21"/>
        </w:rPr>
        <w:t>问题处理流程</w:t>
      </w:r>
    </w:p>
    <w:p>
      <w:pPr>
        <w:pStyle w:val="3"/>
        <w:keepNext/>
        <w:keepLines/>
        <w:pageBreakBefore w:val="0"/>
        <w:widowControl w:val="0"/>
        <w:numPr>
          <w:numId w:val="0"/>
        </w:numPr>
        <w:kinsoku/>
        <w:wordWrap/>
        <w:overflowPunct/>
        <w:topLinePunct w:val="0"/>
        <w:autoSpaceDE/>
        <w:autoSpaceDN/>
        <w:bidi w:val="0"/>
        <w:adjustRightInd/>
        <w:snapToGrid/>
        <w:spacing w:line="288" w:lineRule="auto"/>
        <w:textAlignment w:val="auto"/>
        <w:rPr>
          <w:rFonts w:hint="eastAsia"/>
          <w:sz w:val="21"/>
          <w:szCs w:val="21"/>
        </w:rPr>
      </w:pPr>
      <w:r>
        <w:rPr>
          <w:rFonts w:ascii="宋体" w:hAnsi="宋体" w:eastAsia="宋体"/>
        </w:rPr>
        <w:object>
          <v:shape id="_x0000_i1031" o:spt="75" alt="" type="#_x0000_t75" style="height:126.4pt;width:318pt;" o:ole="t" filled="f" o:preferrelative="t" stroked="f" coordsize="21600,21600">
            <v:path/>
            <v:fill on="f" focussize="0,0"/>
            <v:stroke on="f"/>
            <v:imagedata r:id="rId10" o:title=""/>
            <o:lock v:ext="edit" aspectratio="t"/>
            <w10:wrap type="none"/>
            <w10:anchorlock/>
          </v:shape>
          <o:OLEObject Type="Embed" ProgID="Visio.Drawing.15" ShapeID="_x0000_i1031" DrawAspect="Content" ObjectID="_1468075725" r:id="rId9">
            <o:LockedField>false</o:LockedField>
          </o:OLEObject>
        </w:object>
      </w:r>
    </w:p>
    <w:p>
      <w:pPr>
        <w:jc w:val="both"/>
        <w:rPr>
          <w:rFonts w:ascii="宋体" w:hAnsi="宋体" w:eastAsia="宋体"/>
          <w:b/>
          <w:bCs/>
        </w:rPr>
      </w:pPr>
      <w:r>
        <w:rPr>
          <w:rFonts w:hint="eastAsia" w:ascii="宋体" w:hAnsi="宋体" w:eastAsia="宋体"/>
          <w:b/>
          <w:bCs/>
          <w:lang w:val="en-US" w:eastAsia="zh-CN"/>
        </w:rPr>
        <w:t>2、</w:t>
      </w:r>
      <w:r>
        <w:rPr>
          <w:rFonts w:hint="eastAsia" w:ascii="宋体" w:hAnsi="宋体" w:eastAsia="宋体"/>
          <w:b/>
          <w:bCs/>
        </w:rPr>
        <w:t>系统升级流程</w:t>
      </w:r>
    </w:p>
    <w:p>
      <w:pPr>
        <w:jc w:val="center"/>
        <w:rPr>
          <w:rFonts w:ascii="宋体" w:hAnsi="宋体" w:eastAsia="宋体"/>
        </w:rPr>
      </w:pPr>
      <w:r>
        <w:rPr>
          <w:rFonts w:ascii="宋体" w:hAnsi="宋体" w:eastAsia="宋体"/>
        </w:rPr>
        <w:object>
          <v:shape id="_x0000_i1032" o:spt="75" alt="" type="#_x0000_t75" style="height:120.2pt;width:318.35pt;" o:ole="t" filled="f" o:preferrelative="t" stroked="f" coordsize="21600,21600">
            <v:path/>
            <v:fill on="f" focussize="0,0"/>
            <v:stroke on="f"/>
            <v:imagedata r:id="rId12" o:title=""/>
            <o:lock v:ext="edit" aspectratio="t"/>
            <w10:wrap type="none"/>
            <w10:anchorlock/>
          </v:shape>
          <o:OLEObject Type="Embed" ProgID="Visio.Drawing.15" ShapeID="_x0000_i1032" DrawAspect="Content" ObjectID="_1468075726" r:id="rId11">
            <o:LockedField>false</o:LockedField>
          </o:OLEObject>
        </w:object>
      </w:r>
    </w:p>
    <w:p>
      <w:pPr>
        <w:jc w:val="center"/>
        <w:rPr>
          <w:rFonts w:hint="eastAsia" w:ascii="宋体" w:hAnsi="宋体" w:eastAsia="宋体"/>
        </w:rPr>
      </w:pPr>
    </w:p>
    <w:p>
      <w:pPr>
        <w:jc w:val="both"/>
        <w:rPr>
          <w:rFonts w:ascii="宋体" w:hAnsi="宋体" w:eastAsia="宋体"/>
          <w:b/>
          <w:bCs/>
        </w:rPr>
      </w:pPr>
      <w:r>
        <w:rPr>
          <w:rFonts w:hint="eastAsia" w:ascii="宋体" w:hAnsi="宋体" w:eastAsia="宋体"/>
          <w:b/>
          <w:bCs/>
          <w:lang w:val="en-US" w:eastAsia="zh-CN"/>
        </w:rPr>
        <w:t>3、</w:t>
      </w:r>
      <w:r>
        <w:rPr>
          <w:rFonts w:hint="eastAsia" w:ascii="宋体" w:hAnsi="宋体" w:eastAsia="宋体"/>
          <w:b/>
          <w:bCs/>
        </w:rPr>
        <w:t>数据处理流程</w:t>
      </w:r>
    </w:p>
    <w:p>
      <w:pPr>
        <w:jc w:val="left"/>
        <w:rPr>
          <w:rFonts w:ascii="宋体" w:hAnsi="宋体" w:eastAsia="宋体"/>
        </w:rPr>
      </w:pPr>
      <w:r>
        <w:rPr>
          <w:rFonts w:ascii="宋体" w:hAnsi="宋体" w:eastAsia="宋体"/>
        </w:rPr>
        <w:object>
          <v:shape id="_x0000_i1033" o:spt="75" alt="" type="#_x0000_t75" style="height:135.65pt;width:313.55pt;" o:ole="t" filled="f" o:preferrelative="t" stroked="f" coordsize="21600,21600">
            <v:path/>
            <v:fill on="f" focussize="0,0"/>
            <v:stroke on="f"/>
            <v:imagedata r:id="rId14" o:title=""/>
            <o:lock v:ext="edit" aspectratio="t"/>
            <w10:wrap type="none"/>
            <w10:anchorlock/>
          </v:shape>
          <o:OLEObject Type="Embed" ProgID="Visio.Drawing.15" ShapeID="_x0000_i1033" DrawAspect="Content" ObjectID="_1468075727" r:id="rId13">
            <o:LockedField>false</o:LockedField>
          </o:OLEObject>
        </w:object>
      </w:r>
    </w:p>
    <w:p>
      <w:pPr>
        <w:keepNext w:val="0"/>
        <w:keepLines w:val="0"/>
        <w:pageBreakBefore w:val="0"/>
        <w:widowControl w:val="0"/>
        <w:numPr>
          <w:ilvl w:val="0"/>
          <w:numId w:val="12"/>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使用工具</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长天长服务综合管理平台</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企业微信-数据处理流程</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企业微信-license申请</w:t>
      </w:r>
    </w:p>
    <w:p>
      <w:pPr>
        <w:pageBreakBefore w:val="0"/>
        <w:widowControl w:val="0"/>
        <w:numPr>
          <w:ilvl w:val="0"/>
          <w:numId w:val="12"/>
        </w:numPr>
        <w:kinsoku/>
        <w:wordWrap/>
        <w:overflowPunct/>
        <w:topLinePunct w:val="0"/>
        <w:autoSpaceDE/>
        <w:autoSpaceDN/>
        <w:bidi w:val="0"/>
        <w:adjustRightInd/>
        <w:snapToGrid/>
        <w:spacing w:line="288" w:lineRule="auto"/>
        <w:ind w:left="420" w:leftChars="0" w:hanging="42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技术对接组、部级服务组与研发工程师协作</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日常协作涉及部、省、市级自动监控系统问题、数据处理、系统升级包申请、数据统计需求等工作。具体处理规范参照《服务运营部问题处理规范》、《服务运营部数据处理规范》。</w:t>
      </w:r>
    </w:p>
    <w:p>
      <w:pPr>
        <w:keepNext w:val="0"/>
        <w:keepLines w:val="0"/>
        <w:pageBreakBefore w:val="0"/>
        <w:widowControl w:val="0"/>
        <w:numPr>
          <w:ilvl w:val="0"/>
          <w:numId w:val="13"/>
        </w:numPr>
        <w:kinsoku/>
        <w:wordWrap/>
        <w:overflowPunct/>
        <w:topLinePunct w:val="0"/>
        <w:autoSpaceDE/>
        <w:autoSpaceDN/>
        <w:bidi w:val="0"/>
        <w:adjustRightInd/>
        <w:snapToGrid/>
        <w:spacing w:line="288" w:lineRule="auto"/>
        <w:ind w:left="420" w:leftChars="0" w:hanging="420" w:firstLineChars="0"/>
        <w:textAlignment w:val="auto"/>
        <w:rPr>
          <w:rFonts w:hint="eastAsia" w:ascii="宋体" w:hAnsi="宋体" w:eastAsia="宋体" w:cs="宋体"/>
          <w:b/>
          <w:bCs/>
          <w:sz w:val="21"/>
          <w:szCs w:val="21"/>
        </w:rPr>
      </w:pPr>
      <w:r>
        <w:rPr>
          <w:rFonts w:hint="eastAsia" w:ascii="宋体" w:hAnsi="宋体" w:eastAsia="宋体" w:cs="宋体"/>
          <w:b/>
          <w:bCs/>
          <w:sz w:val="21"/>
          <w:szCs w:val="21"/>
        </w:rPr>
        <w:t>附件</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附件1日常协作对接信息发布于“4.3自动监控系统推进工作群”公告中“4.2问题对接人员安排”及“部级系统对接”。</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附件2</w:t>
      </w:r>
      <w:r>
        <w:rPr>
          <w:rFonts w:hint="eastAsia" w:ascii="宋体" w:hAnsi="宋体" w:eastAsia="宋体" w:cs="宋体"/>
          <w:sz w:val="21"/>
          <w:szCs w:val="21"/>
        </w:rPr>
        <w:t>业务相关企业微信群组如下：</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t>自动监控系统（部省市级）及电子督办：</w:t>
      </w:r>
      <w:r>
        <w:rPr>
          <w:rFonts w:hint="eastAsia" w:ascii="宋体" w:hAnsi="宋体" w:eastAsia="宋体" w:cs="宋体"/>
          <w:sz w:val="21"/>
          <w:szCs w:val="21"/>
        </w:rPr>
        <w:t>4.3自动监控系统推进工作群</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t>重点排污单位排查系统：</w:t>
      </w:r>
      <w:r>
        <w:rPr>
          <w:rFonts w:hint="eastAsia" w:ascii="宋体" w:hAnsi="宋体" w:eastAsia="宋体" w:cs="宋体"/>
          <w:sz w:val="21"/>
          <w:szCs w:val="21"/>
        </w:rPr>
        <w:t>排查系统群</w:t>
      </w:r>
    </w:p>
    <w:p>
      <w:pPr>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b w:val="0"/>
          <w:bCs w:val="0"/>
          <w:sz w:val="21"/>
          <w:szCs w:val="21"/>
        </w:rPr>
        <w:t>垃圾焚烧企业端系统：</w:t>
      </w:r>
      <w:r>
        <w:rPr>
          <w:rFonts w:hint="eastAsia" w:ascii="宋体" w:hAnsi="宋体" w:eastAsia="宋体" w:cs="宋体"/>
          <w:sz w:val="21"/>
          <w:szCs w:val="21"/>
        </w:rPr>
        <w:t>垃圾焚烧企业端运维群新</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黑体" w:hAnsi="黑体" w:eastAsia="黑体" w:cs="黑体"/>
          <w:lang w:val="en-US" w:eastAsia="zh-CN"/>
        </w:rPr>
      </w:pP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运维项目管理</w:t>
      </w:r>
    </w:p>
    <w:p>
      <w:pPr>
        <w:pStyle w:val="4"/>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lang w:val="en-US" w:eastAsia="zh-CN"/>
        </w:rPr>
      </w:pPr>
      <w:r>
        <w:rPr>
          <w:rFonts w:hint="default"/>
          <w:lang w:val="en-US" w:eastAsia="zh-CN"/>
        </w:rPr>
        <w:t>为保障运维合同的顺利实施及验收，提高客户满意度，部门对所有运维合同的实施每月进行跟踪及检查，检查结果纳入每月绩效考核。每季度对多有运维合同进行客户回访，了解客户对于技术服务人员及合同实施情况的满意度，详细要求见《运维工作管理制度》。管理流程如下：</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黑体" w:hAnsi="黑体" w:eastAsia="黑体" w:cs="黑体"/>
          <w:lang w:val="en-US" w:eastAsia="zh-CN"/>
        </w:rPr>
      </w:pPr>
      <w:r>
        <w:drawing>
          <wp:inline distT="0" distB="0" distL="114300" distR="114300">
            <wp:extent cx="4012565" cy="3281680"/>
            <wp:effectExtent l="0" t="0" r="635" b="203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4012565" cy="3281680"/>
                    </a:xfrm>
                    <a:prstGeom prst="rect">
                      <a:avLst/>
                    </a:prstGeom>
                    <a:noFill/>
                    <a:ln>
                      <a:noFill/>
                    </a:ln>
                  </pic:spPr>
                </pic:pic>
              </a:graphicData>
            </a:graphic>
          </wp:inline>
        </w:drawing>
      </w: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质量管理与投诉</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服务管理组负责企业级服务（以下简称2B服务）质量监视和测量、纠正预防措施控制、客户满意度控制以及受理投诉事件。</w:t>
      </w:r>
    </w:p>
    <w:p>
      <w:pPr>
        <w:pStyle w:val="4"/>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质量监视和测量：</w:t>
      </w:r>
      <w:r>
        <w:rPr>
          <w:rFonts w:hint="eastAsia" w:ascii="宋体" w:hAnsi="宋体" w:eastAsia="宋体" w:cs="宋体"/>
          <w:lang w:val="en-US" w:eastAsia="zh-CN"/>
        </w:rPr>
        <w:t>服务管理组对2B服务管理体系的各个过程监视、测量、分析和评价，确定2B服务管理体系的有效性。服务管理组保留适当的监视、测量、分析和评价的记录等文件化信息，作为监视和测量结果的证据。</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4001770" cy="3354705"/>
            <wp:effectExtent l="0" t="0" r="11430" b="23495"/>
            <wp:docPr id="11" name="图片 10" descr="质量监视和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质量监视和测量"/>
                    <pic:cNvPicPr>
                      <a:picLocks noChangeAspect="1"/>
                    </pic:cNvPicPr>
                  </pic:nvPicPr>
                  <pic:blipFill>
                    <a:blip r:embed="rId16"/>
                    <a:stretch>
                      <a:fillRect/>
                    </a:stretch>
                  </pic:blipFill>
                  <pic:spPr>
                    <a:xfrm>
                      <a:off x="0" y="0"/>
                      <a:ext cx="4001770" cy="3354705"/>
                    </a:xfrm>
                    <a:prstGeom prst="rect">
                      <a:avLst/>
                    </a:prstGeom>
                    <a:noFill/>
                    <a:ln>
                      <a:noFill/>
                    </a:ln>
                  </pic:spPr>
                </pic:pic>
              </a:graphicData>
            </a:graphic>
          </wp:inline>
        </w:drawing>
      </w:r>
    </w:p>
    <w:p>
      <w:pPr>
        <w:pStyle w:val="4"/>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纠正预防措施控制：</w:t>
      </w:r>
      <w:r>
        <w:rPr>
          <w:rFonts w:hint="eastAsia" w:ascii="宋体" w:hAnsi="宋体" w:eastAsia="宋体" w:cs="宋体"/>
          <w:b w:val="0"/>
          <w:bCs w:val="0"/>
          <w:sz w:val="21"/>
          <w:szCs w:val="21"/>
          <w:lang w:val="en-US" w:eastAsia="zh-CN"/>
        </w:rPr>
        <w:t>适用于2B服务在服务过程、检验过程、顾客反馈、投诉及数据分析中发生不合格时采取纠正措施和对潜在的不合格采取预防措施的控制。</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8"/>
          <w:szCs w:val="28"/>
          <w:lang w:val="en-US" w:eastAsia="zh-CN"/>
        </w:rPr>
        <w:drawing>
          <wp:inline distT="0" distB="0" distL="114300" distR="114300">
            <wp:extent cx="3846195" cy="3355975"/>
            <wp:effectExtent l="0" t="0" r="0" b="0"/>
            <wp:docPr id="12" name="图片 11" descr="纠正预防措施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纠正预防措施控制"/>
                    <pic:cNvPicPr>
                      <a:picLocks noChangeAspect="1"/>
                    </pic:cNvPicPr>
                  </pic:nvPicPr>
                  <pic:blipFill>
                    <a:blip r:embed="rId17"/>
                    <a:stretch>
                      <a:fillRect/>
                    </a:stretch>
                  </pic:blipFill>
                  <pic:spPr>
                    <a:xfrm>
                      <a:off x="0" y="0"/>
                      <a:ext cx="3846195" cy="3355975"/>
                    </a:xfrm>
                    <a:prstGeom prst="rect">
                      <a:avLst/>
                    </a:prstGeom>
                    <a:noFill/>
                    <a:ln>
                      <a:noFill/>
                    </a:ln>
                  </pic:spPr>
                </pic:pic>
              </a:graphicData>
            </a:graphic>
          </wp:inline>
        </w:drawing>
      </w:r>
    </w:p>
    <w:p>
      <w:pPr>
        <w:pStyle w:val="4"/>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客户满意度控制</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服务管理组监视2B服务客户满意与不满意信息,可通过问卷调研、电话调研或内部调研等方式，进行收集整理、追踪、制定相应措施,以持续满足客户要求；各相关部门负责客户不满意或投诉的原因分析及纠正措施的制定、实施。</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rPr>
          <w:rFonts w:hint="eastAsia" w:ascii="宋体" w:hAnsi="宋体" w:cs="宋体"/>
          <w:b w:val="0"/>
          <w:bCs w:val="0"/>
          <w:sz w:val="21"/>
          <w:szCs w:val="21"/>
          <w:lang w:val="en-US" w:eastAsia="zh-CN"/>
        </w:rPr>
      </w:pPr>
      <w:r>
        <w:rPr>
          <w:rFonts w:hint="eastAsia" w:ascii="宋体" w:hAnsi="宋体" w:cs="宋体"/>
          <w:b w:val="0"/>
          <w:bCs w:val="0"/>
          <w:sz w:val="28"/>
          <w:szCs w:val="28"/>
          <w:lang w:val="en-US" w:eastAsia="zh-CN"/>
        </w:rPr>
        <w:drawing>
          <wp:inline distT="0" distB="0" distL="114300" distR="114300">
            <wp:extent cx="3890010" cy="3027680"/>
            <wp:effectExtent l="0" t="0" r="21590" b="20320"/>
            <wp:docPr id="13" name="图片 12" descr="客户满意度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客户满意度控制"/>
                    <pic:cNvPicPr>
                      <a:picLocks noChangeAspect="1"/>
                    </pic:cNvPicPr>
                  </pic:nvPicPr>
                  <pic:blipFill>
                    <a:blip r:embed="rId18"/>
                    <a:stretch>
                      <a:fillRect/>
                    </a:stretch>
                  </pic:blipFill>
                  <pic:spPr>
                    <a:xfrm>
                      <a:off x="0" y="0"/>
                      <a:ext cx="3890010" cy="3027680"/>
                    </a:xfrm>
                    <a:prstGeom prst="rect">
                      <a:avLst/>
                    </a:prstGeom>
                    <a:noFill/>
                    <a:ln>
                      <a:noFill/>
                    </a:ln>
                  </pic:spPr>
                </pic:pic>
              </a:graphicData>
            </a:graphic>
          </wp:inline>
        </w:drawing>
      </w:r>
    </w:p>
    <w:p>
      <w:pPr>
        <w:pStyle w:val="4"/>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投诉受理</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服务管理组负责受理2B服务的投诉事件，调查、跟踪投诉处理过程，并记录报告，作为分析改善的依据。</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8"/>
          <w:szCs w:val="28"/>
          <w:lang w:val="en-US" w:eastAsia="zh-CN"/>
        </w:rPr>
        <w:drawing>
          <wp:inline distT="0" distB="0" distL="114300" distR="114300">
            <wp:extent cx="4057015" cy="3222625"/>
            <wp:effectExtent l="0" t="0" r="6985" b="3175"/>
            <wp:docPr id="14" name="图片 13" descr="投诉受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投诉受理"/>
                    <pic:cNvPicPr>
                      <a:picLocks noChangeAspect="1"/>
                    </pic:cNvPicPr>
                  </pic:nvPicPr>
                  <pic:blipFill>
                    <a:blip r:embed="rId19"/>
                    <a:stretch>
                      <a:fillRect/>
                    </a:stretch>
                  </pic:blipFill>
                  <pic:spPr>
                    <a:xfrm>
                      <a:off x="0" y="0"/>
                      <a:ext cx="4057015" cy="3222625"/>
                    </a:xfrm>
                    <a:prstGeom prst="rect">
                      <a:avLst/>
                    </a:prstGeom>
                    <a:noFill/>
                    <a:ln>
                      <a:noFill/>
                    </a:ln>
                  </pic:spPr>
                </pic:pic>
              </a:graphicData>
            </a:graphic>
          </wp:inline>
        </w:drawing>
      </w:r>
    </w:p>
    <w:p>
      <w:pPr>
        <w:keepNext w:val="0"/>
        <w:keepLines w:val="0"/>
        <w:pageBreakBefore w:val="0"/>
        <w:widowControl w:val="0"/>
        <w:numPr>
          <w:ilvl w:val="0"/>
          <w:numId w:val="14"/>
        </w:numPr>
        <w:kinsoku/>
        <w:wordWrap/>
        <w:overflowPunct/>
        <w:topLinePunct w:val="0"/>
        <w:autoSpaceDE/>
        <w:autoSpaceDN/>
        <w:bidi w:val="0"/>
        <w:adjustRightInd/>
        <w:snapToGrid/>
        <w:spacing w:line="288" w:lineRule="auto"/>
        <w:ind w:left="420" w:leftChars="0" w:right="0" w:rightChars="0" w:hanging="420" w:firstLineChars="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相关附件</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《监视和测量程序》</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《纠正预防措施控制程序》</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420"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《客户满意度控制程序》</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《投诉受理程序》</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cs="宋体"/>
          <w:b/>
          <w:bCs/>
          <w:sz w:val="21"/>
          <w:szCs w:val="21"/>
          <w:lang w:val="en-US" w:eastAsia="zh-CN"/>
        </w:rPr>
      </w:pP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黑体" w:hAnsi="黑体" w:eastAsia="黑体" w:cs="黑体"/>
          <w:lang w:val="en-US" w:eastAsia="zh-CN"/>
        </w:rPr>
      </w:pPr>
      <w:r>
        <w:rPr>
          <w:rFonts w:hint="eastAsia" w:ascii="黑体" w:hAnsi="黑体" w:eastAsia="黑体" w:cs="黑体"/>
          <w:lang w:val="en-US" w:eastAsia="zh-CN"/>
        </w:rPr>
        <w:t>推广销售</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为更好的辅助和支持区域销售，完成市场分析、产品设计、营销推广、销售管理等工作，服务运营部总部设立产品推广小组，与各区域销售关联工作类别包括市场需求的收集及反馈、产品营销推广组织等。</w:t>
      </w:r>
    </w:p>
    <w:p>
      <w:pPr>
        <w:pStyle w:val="4"/>
        <w:keepNext w:val="0"/>
        <w:keepLines w:val="0"/>
        <w:pageBreakBefore w:val="0"/>
        <w:widowControl w:val="0"/>
        <w:numPr>
          <w:ilvl w:val="0"/>
          <w:numId w:val="15"/>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产品营销推广组织：</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一）销售报备：各区域销售人员负责完成企业级产品的销售推广工作，在明确客户的购买意愿后，应完成产品销售的报备工作流程，销售人员需要下载报备样表，完整填写完相关报备信息后发送邮件至2BBB@jointsky.com，推广人员接收报备表后，在确认报备信息的准确性和重复性无误后，维护相关报备台账信息并通过企业微信群发布报备信息。</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（二）销售跟踪：推广人员应整理相关产品销售台账，对产品续签及回款情况进行跟踪，通过企业微信“服务运营部回款沟通群”定期发布相关续签及款项逾期情况信息，及时提醒相关人员完成对应工作。</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三）销售策划：推广人员应完成产品销售相关资料的维护及发布工作，包括但不限于合同模板、方案模板、报价单模板、产品宣传册等。以上资料发生变动时，应尽快完成信息维护并上传至企业微信微盘对应目录下，上传后应在企业微信群发布群消息，通知相关模板维护信息。</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（四）销售支持：销售过程中，区域销售人员如需总部人员支持，应主动联系相关人员告知需要支持的工作内容。总部人员应尽快完成支持工作任务协助区域销售人员完成签单。</w:t>
      </w:r>
    </w:p>
    <w:p>
      <w:pPr>
        <w:pStyle w:val="4"/>
        <w:keepNext w:val="0"/>
        <w:keepLines w:val="0"/>
        <w:pageBreakBefore w:val="0"/>
        <w:widowControl w:val="0"/>
        <w:numPr>
          <w:ilvl w:val="0"/>
          <w:numId w:val="16"/>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市场需求收集及反馈</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销售人员在市场推广过程中收集到的产品及客户需求，应在微盘中对应目录下按照示例完成需求信息的在线维护工作，信息维护完毕后应通过企业微信告知相关产品负责人。产品负责人在对需求信息进行分析后，应组织召开需求沟通会，并将需求处理结果告知需求信息维护人员。</w:t>
      </w:r>
    </w:p>
    <w:p>
      <w:pPr>
        <w:pStyle w:val="4"/>
        <w:keepNext w:val="0"/>
        <w:keepLines w:val="0"/>
        <w:pageBreakBefore w:val="0"/>
        <w:widowControl w:val="0"/>
        <w:numPr>
          <w:ilvl w:val="0"/>
          <w:numId w:val="16"/>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产品设计及发布</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产品组应通过产品运营、市场调研等渠道完成市场信息的收集，完成新产品立项及设计工作。新产品设计完毕及内部试运营后，应尽快组织召开新产品发布会进行宣介并同时在微盘建立新产品目录上传新产品相关材料。材料包括不限于产品合同、试用版工具、定价策略等。销售人员应积极与客户沟通发送相关产品材料直至完成签单。</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jc w:val="both"/>
        <w:textAlignment w:val="auto"/>
      </w:pPr>
      <w:r>
        <w:object>
          <v:shape id="_x0000_i1038" o:spt="75" alt="" type="#_x0000_t75" style="height:180.7pt;width:308.25pt;" o:ole="t" filled="f" o:preferrelative="t" stroked="f" coordsize="21600,21600">
            <v:path/>
            <v:fill on="f" focussize="0,0"/>
            <v:stroke on="f"/>
            <v:imagedata r:id="rId21" o:title=""/>
            <o:lock v:ext="edit" aspectratio="t"/>
            <w10:wrap type="none"/>
            <w10:anchorlock/>
          </v:shape>
          <o:OLEObject Type="Embed" ProgID="Visio.Drawing.15" ShapeID="_x0000_i1038" DrawAspect="Content" ObjectID="_1468075728" r:id="rId20">
            <o:LockedField>false</o:LockedField>
          </o:OLEObject>
        </w:objec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jc w:val="both"/>
        <w:textAlignment w:val="auto"/>
        <w:rPr>
          <w:rFonts w:hint="eastAsia"/>
          <w:lang w:val="en-US" w:eastAsia="zh-CN"/>
        </w:rPr>
      </w:pP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售前技术支持</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售前工作范围：对本部门内的项目招投标文件撰写，项目及技术方案，标书撰写。</w:t>
      </w:r>
    </w:p>
    <w:p>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技术支持工作登记路径：</w:t>
      </w:r>
      <w:r>
        <w:rPr>
          <w:rFonts w:hint="eastAsia" w:ascii="宋体" w:hAnsi="宋体" w:eastAsia="宋体" w:cs="宋体"/>
          <w:b w:val="0"/>
          <w:bCs w:val="0"/>
          <w:sz w:val="21"/>
          <w:szCs w:val="21"/>
          <w:lang w:val="en-US" w:eastAsia="zh-CN"/>
        </w:rPr>
        <w:t>企业微信--企业微信工作群（售前技术支持工作群）--提交项目详细信息及需求--售前支持人员统计--安排撰写时间及内容。</w:t>
      </w:r>
    </w:p>
    <w:p>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CA办理及借用流程路径：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CA新办及变更--向行政人员咨询对应CA信息--确认是否需新办或续费变更--提交对应办理或变更资料用章--办理或变更CA完成--OA系统--行政审批模块（CA备案信息登记）</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CA借用--OA系统--行政模块--CA借用登记表</w:t>
      </w:r>
    </w:p>
    <w:p>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资质借用流程路径：</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合同原件借用--企业微信--工作台--审批--销售合同借用--合同管理人员出具。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合同扫描件借用--企业微信--工作台--审批--服务模块（合同扫描件）--管理人员出具。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财务资料借用--OA系统-财务审批--财务资料借用单--财务人员出具。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社保资料借用--OA系统--人事模块-社保证明开具协调单--社保专员出具。</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firstLine="420"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营业执照原件--OA系统--行政模块--人力行政部证书借用单--行政人员处理。</w:t>
      </w:r>
    </w:p>
    <w:p>
      <w:pPr>
        <w:keepNext w:val="0"/>
        <w:keepLines w:val="0"/>
        <w:pageBreakBefore w:val="0"/>
        <w:widowControl w:val="0"/>
        <w:numPr>
          <w:ilvl w:val="0"/>
          <w:numId w:val="17"/>
        </w:numPr>
        <w:kinsoku/>
        <w:wordWrap/>
        <w:overflowPunct/>
        <w:topLinePunct w:val="0"/>
        <w:autoSpaceDE/>
        <w:autoSpaceDN/>
        <w:bidi w:val="0"/>
        <w:adjustRightInd/>
        <w:snapToGrid/>
        <w:spacing w:line="288" w:lineRule="auto"/>
        <w:ind w:left="420" w:leftChars="0" w:hanging="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技术支持部门对接：</w:t>
      </w:r>
      <w:r>
        <w:rPr>
          <w:rFonts w:hint="eastAsia" w:ascii="宋体" w:hAnsi="宋体" w:eastAsia="宋体" w:cs="宋体"/>
          <w:b w:val="0"/>
          <w:bCs w:val="0"/>
          <w:sz w:val="21"/>
          <w:szCs w:val="21"/>
          <w:lang w:val="en-US" w:eastAsia="zh-CN"/>
        </w:rPr>
        <w:t>项目统一报备至售前技术支持人员统计，统计后提交技术支持部门，安排时间及进度。</w:t>
      </w: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数采仪售后</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数采仪销售服务流程是指从数采仪采购合同签订开始直至数采仪安装完毕后日常使用的整个服务流程，涵盖回款确认、出库、安装、开票、售后服务等环节。</w: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回款确认：</w:t>
      </w:r>
      <w:r>
        <w:rPr>
          <w:rFonts w:hint="eastAsia" w:ascii="宋体" w:hAnsi="宋体" w:eastAsia="宋体" w:cs="宋体"/>
          <w:lang w:val="en-US" w:eastAsia="zh-CN"/>
        </w:rPr>
        <w:t>数采仪为实物产品，考虑实物使用后难以二次销售等现状，数采仪产品要求实行款到发货政策。数采仪合同签订后，营销人员应积极沟通，要求企业尽快按照合同金额回款。企业回款后，应及时在OA系统完成财务部门发起的销售款项确认流程。</w: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出库：</w:t>
      </w:r>
      <w:r>
        <w:rPr>
          <w:rFonts w:hint="eastAsia" w:ascii="宋体" w:hAnsi="宋体" w:eastAsia="宋体" w:cs="宋体"/>
          <w:lang w:val="en-US" w:eastAsia="zh-CN"/>
        </w:rPr>
        <w:t>数采仪足额回款后，销售人员应第一时间在OA系统实物模块提交实物出库单流程并跟踪该流程的执行情况，期间如果存在定制程序需求，销售人眼还应与嵌入式部门发货管理员沟通数采仪底板程序问题。</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lang w:val="en-US" w:eastAsia="zh-CN"/>
        </w:rPr>
      </w:pPr>
      <w:r>
        <w:rPr>
          <w:rFonts w:ascii="方正仿宋简体" w:eastAsia="方正仿宋简体"/>
          <w:sz w:val="24"/>
        </w:rPr>
        <w:object>
          <v:shape id="_x0000_i1041" o:spt="75" type="#_x0000_t75" style="height:322.3pt;width:314.6pt;" o:ole="t" filled="f" o:preferrelative="t" stroked="f" coordsize="21600,21600">
            <v:path/>
            <v:fill on="f" focussize="0,0"/>
            <v:stroke on="f"/>
            <v:imagedata r:id="rId23" o:title=""/>
            <o:lock v:ext="edit" aspectratio="f"/>
            <w10:wrap type="none"/>
            <w10:anchorlock/>
          </v:shape>
          <o:OLEObject Type="Embed" ProgID="Visio.Drawing.15" ShapeID="_x0000_i1041" DrawAspect="Content" ObjectID="_1468075729" r:id="rId22">
            <o:LockedField>false</o:LockedField>
          </o:OLEObject>
        </w:objec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安装:</w:t>
      </w:r>
      <w:r>
        <w:rPr>
          <w:rFonts w:hint="eastAsia" w:ascii="宋体" w:hAnsi="宋体" w:eastAsia="宋体" w:cs="宋体"/>
          <w:lang w:val="en-US" w:eastAsia="zh-CN"/>
        </w:rPr>
        <w:t>数采仪发货完毕后，销售人员应与客户联系，询问货物到货验收情况。确认完毕后，应与客户、嵌入式安装负责人、服务运营部数采仪推广人员四方协商数采仪安装计划。安装过程中，应积极提醒嵌入式安装人员完成安装台账的记录并归档。</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lang w:val="en-US" w:eastAsia="zh-CN"/>
        </w:rPr>
      </w:pPr>
      <w:r>
        <w:rPr>
          <w:rFonts w:ascii="方正仿宋简体" w:eastAsia="方正仿宋简体"/>
          <w:sz w:val="24"/>
        </w:rPr>
        <w:object>
          <v:shape id="_x0000_i1040" o:spt="75" alt="" type="#_x0000_t75" style="height:220.25pt;width:311.3pt;" o:ole="t" filled="f" o:preferrelative="t" stroked="f" coordsize="21600,21600">
            <v:path/>
            <v:fill on="f" focussize="0,0"/>
            <v:stroke on="f"/>
            <v:imagedata r:id="rId25" o:title=""/>
            <o:lock v:ext="edit" aspectratio="f"/>
            <w10:wrap type="none"/>
            <w10:anchorlock/>
          </v:shape>
          <o:OLEObject Type="Embed" ProgID="Visio.Drawing.15" ShapeID="_x0000_i1040" DrawAspect="Content" ObjectID="_1468075730" r:id="rId24">
            <o:LockedField>false</o:LockedField>
          </o:OLEObject>
        </w:objec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开票：</w:t>
      </w:r>
      <w:r>
        <w:rPr>
          <w:rFonts w:hint="eastAsia" w:ascii="宋体" w:hAnsi="宋体" w:eastAsia="宋体" w:cs="宋体"/>
          <w:lang w:val="en-US" w:eastAsia="zh-CN"/>
        </w:rPr>
        <w:t>在数采仪合同归档的三个工作日内，销售人员应该在OA系统合同模块完成开票流程的提交（如客户无特殊要求，推荐开具电子版增值税专用发票）。</w: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售后服务：</w:t>
      </w:r>
      <w:r>
        <w:rPr>
          <w:rFonts w:hint="eastAsia" w:ascii="宋体" w:hAnsi="宋体" w:eastAsia="宋体" w:cs="宋体"/>
          <w:lang w:val="en-US" w:eastAsia="zh-CN"/>
        </w:rPr>
        <w:t>数采仪在日常使用过程中出现不可预见的质量问题时。如果客户反馈至销售人员时，应尽可能安抚客户情绪并尽快与服务运营部数采仪推广人人员联系，推广人员在与嵌入式部门就问题发生原因进行初步定性后，销售人员应积极与客户沟通协商后续处理事宜。</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lang w:val="en-US" w:eastAsia="zh-CN"/>
        </w:rPr>
      </w:pPr>
      <w:r>
        <w:rPr>
          <w:rFonts w:ascii="方正仿宋简体" w:eastAsia="方正仿宋简体"/>
          <w:sz w:val="24"/>
        </w:rPr>
        <w:object>
          <v:shape id="_x0000_i1044" o:spt="75" alt="" type="#_x0000_t75" style="height:207.05pt;width:311.3pt;" o:ole="t" filled="f" o:preferrelative="t" stroked="f" coordsize="21600,21600">
            <v:path/>
            <v:fill on="f" focussize="0,0"/>
            <v:stroke on="f"/>
            <v:imagedata r:id="rId27" o:title=""/>
            <o:lock v:ext="edit" aspectratio="f"/>
            <w10:wrap type="none"/>
            <w10:anchorlock/>
          </v:shape>
          <o:OLEObject Type="Embed" ProgID="Visio.Drawing.15" ShapeID="_x0000_i1044" DrawAspect="Content" ObjectID="_1468075731" r:id="rId26">
            <o:LockedField>false</o:LockedField>
          </o:OLEObject>
        </w:objec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数采仪升级：</w:t>
      </w:r>
      <w:r>
        <w:rPr>
          <w:rFonts w:hint="eastAsia" w:ascii="宋体" w:hAnsi="宋体" w:eastAsia="宋体" w:cs="宋体"/>
          <w:lang w:val="en-US" w:eastAsia="zh-CN"/>
        </w:rPr>
        <w:t>由于政策文件发布或客户个性化需求，会导致数采仪设备的升级需求，客户提出数采仪升级需求时，销售人员应该按照数采仪升级采购实施流程进行操作，涵盖合同签订、回款及开票、升级实施等环节。</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lang w:val="en-US" w:eastAsia="zh-CN"/>
        </w:rPr>
      </w:pPr>
      <w:r>
        <w:rPr>
          <w:rFonts w:ascii="方正仿宋简体" w:eastAsia="方正仿宋简体"/>
          <w:sz w:val="24"/>
        </w:rPr>
        <w:object>
          <v:shape id="_x0000_i1042" o:spt="75" alt="" type="#_x0000_t75" style="height:187.9pt;width:310.65pt;" o:ole="t" filled="f" o:preferrelative="t" stroked="f" coordsize="21600,21600">
            <v:path/>
            <v:fill on="f" focussize="0,0"/>
            <v:stroke on="f"/>
            <v:imagedata r:id="rId29" o:title=""/>
            <o:lock v:ext="edit" aspectratio="f"/>
            <w10:wrap type="none"/>
            <w10:anchorlock/>
          </v:shape>
          <o:OLEObject Type="Embed" ProgID="Visio.Drawing.15" ShapeID="_x0000_i1042" DrawAspect="Content" ObjectID="_1468075732" r:id="rId28">
            <o:LockedField>false</o:LockedField>
          </o:OLEObject>
        </w:object>
      </w:r>
    </w:p>
    <w:p>
      <w:pPr>
        <w:pStyle w:val="4"/>
        <w:keepNext w:val="0"/>
        <w:keepLines w:val="0"/>
        <w:pageBreakBefore w:val="0"/>
        <w:widowControl w:val="0"/>
        <w:numPr>
          <w:ilvl w:val="0"/>
          <w:numId w:val="18"/>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lang w:val="en-US" w:eastAsia="zh-CN"/>
        </w:rPr>
      </w:pPr>
      <w:r>
        <w:rPr>
          <w:rFonts w:hint="eastAsia" w:ascii="宋体" w:hAnsi="宋体" w:eastAsia="宋体" w:cs="宋体"/>
          <w:b/>
          <w:bCs/>
          <w:lang w:val="en-US" w:eastAsia="zh-CN"/>
        </w:rPr>
        <w:t>数采仪维修：</w:t>
      </w:r>
      <w:r>
        <w:rPr>
          <w:rFonts w:hint="eastAsia" w:ascii="宋体" w:hAnsi="宋体" w:eastAsia="宋体" w:cs="宋体"/>
          <w:lang w:val="en-US" w:eastAsia="zh-CN"/>
        </w:rPr>
        <w:t>由于客户自身或者不可预见外力原因导致数采仪损坏的事情，如果产生数采仪维修需求，销售人员应按照数采仪维修流程进行操作，涵盖数采仪回寄、数采仪故障排查、报价、合同签订及回款、数采仪维修及回寄、开票等环节。</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both"/>
        <w:textAlignment w:val="auto"/>
        <w:rPr>
          <w:rFonts w:ascii="方正仿宋简体" w:eastAsia="方正仿宋简体"/>
          <w:sz w:val="21"/>
          <w:szCs w:val="21"/>
        </w:rPr>
      </w:pPr>
      <w:r>
        <w:rPr>
          <w:rFonts w:ascii="方正仿宋简体" w:eastAsia="方正仿宋简体"/>
          <w:sz w:val="24"/>
        </w:rPr>
        <w:object>
          <v:shape id="_x0000_i1043" o:spt="75" alt="" type="#_x0000_t75" style="height:241.8pt;width:311.35pt;" o:ole="t" filled="f" o:preferrelative="t" stroked="f" coordsize="21600,21600">
            <v:path/>
            <v:fill on="f" focussize="0,0"/>
            <v:stroke on="f"/>
            <v:imagedata r:id="rId31" o:title=""/>
            <o:lock v:ext="edit" aspectratio="f"/>
            <w10:wrap type="none"/>
            <w10:anchorlock/>
          </v:shape>
          <o:OLEObject Type="Embed" ProgID="Visio.Drawing.15" ShapeID="_x0000_i1043" DrawAspect="Content" ObjectID="_1468075733" r:id="rId30">
            <o:LockedField>false</o:LockedField>
          </o:OLEObject>
        </w:objec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rPr>
          <w:rFonts w:hint="eastAsia" w:ascii="方正仿宋简体" w:eastAsia="方正仿宋简体"/>
          <w:sz w:val="21"/>
          <w:szCs w:val="21"/>
          <w:lang w:val="en-US" w:eastAsia="zh-CN"/>
        </w:rPr>
      </w:pPr>
    </w:p>
    <w:p>
      <w:pPr>
        <w:pStyle w:val="4"/>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default" w:ascii="黑体" w:hAnsi="黑体" w:eastAsia="黑体" w:cs="黑体"/>
          <w:lang w:val="en-US" w:eastAsia="zh-CN"/>
        </w:rPr>
      </w:pPr>
      <w:r>
        <w:rPr>
          <w:rFonts w:hint="eastAsia" w:ascii="黑体" w:hAnsi="黑体" w:eastAsia="黑体" w:cs="黑体"/>
          <w:lang w:val="en-US" w:eastAsia="zh-CN"/>
        </w:rPr>
        <w:t>值守与驻地服务工程师的协作</w:t>
      </w:r>
    </w:p>
    <w:p>
      <w:pPr>
        <w:pStyle w:val="4"/>
        <w:keepNext w:val="0"/>
        <w:keepLines w:val="0"/>
        <w:pageBreakBefore w:val="0"/>
        <w:widowControl w:val="0"/>
        <w:numPr>
          <w:ilvl w:val="0"/>
          <w:numId w:val="19"/>
        </w:numPr>
        <w:kinsoku/>
        <w:wordWrap/>
        <w:overflowPunct/>
        <w:topLinePunct w:val="0"/>
        <w:autoSpaceDE/>
        <w:autoSpaceDN/>
        <w:bidi w:val="0"/>
        <w:adjustRightInd/>
        <w:snapToGrid/>
        <w:spacing w:line="288" w:lineRule="auto"/>
        <w:ind w:left="420" w:leftChars="0" w:hanging="420" w:firstLineChars="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工作内容</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企业反馈的数据缺失或数据补传不上的问题，需要及时反馈对应的服务大区企业微信群（如：A云贵川渝365服务沟通群），联系相关技术服务工程师（驻地）处理。并将对应同事的处理结果及时反馈给客户。</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企业365服务开通，试用和合同到期续签问题。值守中心收到技术服务工程师（驻地）反馈需要开通服务服务时，值守中心业务主管需要核实合同是否签订以及评审。企业数据上传平台稳定后，需要和对应技术服务工程师（驻地）核实企业信息，确认无误，开通服务。相关信息记录《值守平台信息表》</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pPr>
      <w:r>
        <w:drawing>
          <wp:inline distT="0" distB="0" distL="0" distR="0">
            <wp:extent cx="3884295" cy="3180715"/>
            <wp:effectExtent l="0" t="0" r="1905" b="19685"/>
            <wp:docPr id="297046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6388" name="图片 1"/>
                    <pic:cNvPicPr>
                      <a:picLocks noChangeAspect="1"/>
                    </pic:cNvPicPr>
                  </pic:nvPicPr>
                  <pic:blipFill>
                    <a:blip r:embed="rId32"/>
                    <a:stretch>
                      <a:fillRect/>
                    </a:stretch>
                  </pic:blipFill>
                  <pic:spPr>
                    <a:xfrm>
                      <a:off x="0" y="0"/>
                      <a:ext cx="3884295" cy="3180715"/>
                    </a:xfrm>
                    <a:prstGeom prst="rect">
                      <a:avLst/>
                    </a:prstGeom>
                  </pic:spPr>
                </pic:pic>
              </a:graphicData>
            </a:graphic>
          </wp:inline>
        </w:drawing>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pPr>
      <w:r>
        <w:drawing>
          <wp:inline distT="0" distB="0" distL="0" distR="0">
            <wp:extent cx="3940810" cy="3378200"/>
            <wp:effectExtent l="0" t="0" r="21590" b="0"/>
            <wp:docPr id="1393311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11594" name="图片 1"/>
                    <pic:cNvPicPr>
                      <a:picLocks noChangeAspect="1"/>
                    </pic:cNvPicPr>
                  </pic:nvPicPr>
                  <pic:blipFill>
                    <a:blip r:embed="rId33"/>
                    <a:stretch>
                      <a:fillRect/>
                    </a:stretch>
                  </pic:blipFill>
                  <pic:spPr>
                    <a:xfrm>
                      <a:off x="0" y="0"/>
                      <a:ext cx="3940810" cy="3378200"/>
                    </a:xfrm>
                    <a:prstGeom prst="rect">
                      <a:avLst/>
                    </a:prstGeom>
                  </pic:spPr>
                </pic:pic>
              </a:graphicData>
            </a:graphic>
          </wp:inline>
        </w:drawing>
      </w:r>
    </w:p>
    <w:p>
      <w:pPr>
        <w:pStyle w:val="4"/>
        <w:keepNext w:val="0"/>
        <w:keepLines w:val="0"/>
        <w:pageBreakBefore w:val="0"/>
        <w:widowControl w:val="0"/>
        <w:numPr>
          <w:ilvl w:val="0"/>
          <w:numId w:val="20"/>
        </w:numPr>
        <w:kinsoku/>
        <w:wordWrap/>
        <w:overflowPunct/>
        <w:topLinePunct w:val="0"/>
        <w:autoSpaceDE/>
        <w:autoSpaceDN/>
        <w:bidi w:val="0"/>
        <w:adjustRightInd/>
        <w:snapToGrid/>
        <w:spacing w:line="288" w:lineRule="auto"/>
        <w:ind w:left="420" w:leftChars="0" w:hanging="420" w:firstLineChars="0"/>
        <w:jc w:val="left"/>
        <w:textAlignment w:val="auto"/>
        <w:rPr>
          <w:rFonts w:hint="default"/>
          <w:b/>
          <w:bCs/>
          <w:lang w:val="en-US" w:eastAsia="zh-CN"/>
        </w:rPr>
      </w:pPr>
      <w:r>
        <w:rPr>
          <w:rFonts w:hint="default"/>
          <w:b/>
          <w:bCs/>
          <w:lang w:val="en-US" w:eastAsia="zh-CN"/>
        </w:rPr>
        <w:t>企业微信涉及相关工作群：</w:t>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firstLine="420" w:firstLineChars="200"/>
        <w:jc w:val="left"/>
        <w:textAlignment w:val="auto"/>
        <w:rPr>
          <w:rFonts w:hint="default"/>
          <w:lang w:val="en-US" w:eastAsia="zh-CN"/>
        </w:rPr>
      </w:pPr>
      <w:r>
        <w:rPr>
          <w:rFonts w:hint="default"/>
          <w:lang w:val="en-US" w:eastAsia="zh-CN"/>
        </w:rPr>
        <w:t>数据缺失：《A京津冀鲁365服务沟通群》，《A苏皖沪365服务沟通群》，《A粤桂湘琼鄂365服务沟通群》，《A云贵川渝365服务沟通群》，《A辽吉黑蒙365服务沟通群》，《A宁青甘新365服务沟通群》，《A晋豫陕365服务沟通群》</w:t>
      </w:r>
    </w:p>
    <w:p>
      <w:pPr>
        <w:pStyle w:val="4"/>
        <w:keepNext w:val="0"/>
        <w:keepLines w:val="0"/>
        <w:pageBreakBefore w:val="0"/>
        <w:widowControl w:val="0"/>
        <w:numPr>
          <w:ilvl w:val="0"/>
          <w:numId w:val="20"/>
        </w:numPr>
        <w:kinsoku/>
        <w:wordWrap/>
        <w:overflowPunct/>
        <w:topLinePunct w:val="0"/>
        <w:autoSpaceDE/>
        <w:autoSpaceDN/>
        <w:bidi w:val="0"/>
        <w:adjustRightInd/>
        <w:snapToGrid/>
        <w:spacing w:line="288" w:lineRule="auto"/>
        <w:ind w:left="420" w:leftChars="0" w:hanging="420" w:firstLineChars="0"/>
        <w:jc w:val="left"/>
        <w:textAlignment w:val="auto"/>
        <w:rPr>
          <w:rFonts w:hint="default"/>
          <w:lang w:val="en-US" w:eastAsia="zh-CN"/>
        </w:rPr>
      </w:pPr>
      <w:r>
        <w:rPr>
          <w:rFonts w:hint="default"/>
          <w:b/>
          <w:bCs/>
          <w:lang w:val="en-US" w:eastAsia="zh-CN"/>
        </w:rPr>
        <w:t>企业端问题：</w:t>
      </w:r>
      <w:r>
        <w:rPr>
          <w:rFonts w:hint="default"/>
          <w:lang w:val="en-US" w:eastAsia="zh-CN"/>
        </w:rPr>
        <w:t>《垃圾焚烧企业端运维群新》</w:t>
      </w:r>
    </w:p>
    <w:p>
      <w:pPr>
        <w:pStyle w:val="4"/>
        <w:keepNext w:val="0"/>
        <w:keepLines w:val="0"/>
        <w:pageBreakBefore w:val="0"/>
        <w:widowControl w:val="0"/>
        <w:numPr>
          <w:ilvl w:val="0"/>
          <w:numId w:val="20"/>
        </w:numPr>
        <w:kinsoku/>
        <w:wordWrap/>
        <w:overflowPunct/>
        <w:topLinePunct w:val="0"/>
        <w:autoSpaceDE/>
        <w:autoSpaceDN/>
        <w:bidi w:val="0"/>
        <w:adjustRightInd/>
        <w:snapToGrid/>
        <w:spacing w:line="288" w:lineRule="auto"/>
        <w:ind w:left="420" w:leftChars="0" w:hanging="420" w:firstLineChars="0"/>
        <w:jc w:val="left"/>
        <w:textAlignment w:val="auto"/>
        <w:rPr>
          <w:rFonts w:hint="default"/>
          <w:lang w:val="en-US" w:eastAsia="zh-CN"/>
        </w:rPr>
      </w:pPr>
      <w:r>
        <w:rPr>
          <w:rFonts w:hint="default"/>
          <w:b/>
          <w:bCs/>
          <w:lang w:val="en-US" w:eastAsia="zh-CN"/>
        </w:rPr>
        <w:t>涉及工具：</w:t>
      </w:r>
      <w:r>
        <w:rPr>
          <w:rFonts w:hint="default"/>
          <w:lang w:val="en-US" w:eastAsia="zh-CN"/>
        </w:rPr>
        <w:t>Office办公软件，微信，企业微信，长天长平台，oa</w:t>
      </w:r>
    </w:p>
    <w:p>
      <w:pPr>
        <w:rPr>
          <w:rFonts w:hint="default"/>
          <w:lang w:val="en-US" w:eastAsia="zh-CN"/>
        </w:rPr>
      </w:pPr>
      <w:r>
        <w:rPr>
          <w:rFonts w:hint="default"/>
          <w:lang w:val="en-US" w:eastAsia="zh-CN"/>
        </w:rPr>
        <w:br w:type="page"/>
      </w: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sz w:val="84"/>
          <w:szCs w:val="84"/>
          <w:lang w:val="en-US" w:eastAsia="zh-CN"/>
        </w:rPr>
      </w:pP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left"/>
        <w:textAlignment w:val="auto"/>
        <w:rPr>
          <w:rFonts w:hint="eastAsia"/>
          <w:sz w:val="84"/>
          <w:szCs w:val="84"/>
          <w:lang w:val="en-US" w:eastAsia="zh-CN"/>
        </w:rPr>
      </w:pPr>
    </w:p>
    <w:p>
      <w:pPr>
        <w:pStyle w:val="4"/>
        <w:keepNext w:val="0"/>
        <w:keepLines w:val="0"/>
        <w:pageBreakBefore w:val="0"/>
        <w:widowControl w:val="0"/>
        <w:numPr>
          <w:numId w:val="0"/>
        </w:numPr>
        <w:kinsoku/>
        <w:wordWrap/>
        <w:overflowPunct/>
        <w:topLinePunct w:val="0"/>
        <w:autoSpaceDE/>
        <w:autoSpaceDN/>
        <w:bidi w:val="0"/>
        <w:adjustRightInd/>
        <w:snapToGrid/>
        <w:spacing w:line="288" w:lineRule="auto"/>
        <w:ind w:leftChars="0"/>
        <w:jc w:val="center"/>
        <w:textAlignment w:val="auto"/>
        <w:rPr>
          <w:rFonts w:hint="default"/>
          <w:sz w:val="84"/>
          <w:szCs w:val="84"/>
          <w:lang w:val="en-US" w:eastAsia="zh-CN"/>
        </w:rPr>
      </w:pPr>
      <w:r>
        <w:rPr>
          <w:rFonts w:hint="eastAsia"/>
          <w:sz w:val="84"/>
          <w:szCs w:val="84"/>
          <w:lang w:val="en-US" w:eastAsia="zh-CN"/>
        </w:rPr>
        <w:t>封面（背面）</w:t>
      </w:r>
    </w:p>
    <w:sectPr>
      <w:footerReference r:id="rId3" w:type="default"/>
      <w:pgSz w:w="7370" w:h="10431"/>
      <w:pgMar w:top="567" w:right="567" w:bottom="567" w:left="567" w:header="340" w:footer="170" w:gutter="0"/>
      <w:paperSrc/>
      <w:pgNumType w:fmt="decimal" w:start="1"/>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黑体">
    <w:altName w:val="汉仪中黑KW"/>
    <w:panose1 w:val="00000000000000000000"/>
    <w:charset w:val="00"/>
    <w:family w:val="auto"/>
    <w:pitch w:val="default"/>
    <w:sig w:usb0="00000000" w:usb1="00000000" w:usb2="00000000" w:usb3="00000000" w:csb0="0000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Heiti TC Light">
    <w:panose1 w:val="02000000000000000000"/>
    <w:charset w:val="86"/>
    <w:family w:val="auto"/>
    <w:pitch w:val="default"/>
    <w:sig w:usb0="00000000" w:usb1="00000000" w:usb2="00000000" w:usb3="00000000" w:csb0="00160000" w:csb1="00000000"/>
  </w:font>
  <w:font w:name="楷体">
    <w:altName w:val="汉仪楷体KW"/>
    <w:panose1 w:val="02010609060101010101"/>
    <w:charset w:val="00"/>
    <w:family w:val="auto"/>
    <w:pitch w:val="default"/>
    <w:sig w:usb0="00000000" w:usb1="00000000" w:usb2="00000016" w:usb3="00000000" w:csb0="00040001" w:csb1="00000000"/>
  </w:font>
  <w:font w:name="Calibri Light">
    <w:altName w:val="Helvetica Neue"/>
    <w:panose1 w:val="00000000000000000000"/>
    <w:charset w:val="00"/>
    <w:family w:val="auto"/>
    <w:pitch w:val="default"/>
    <w:sig w:usb0="00000000" w:usb1="00000000" w:usb2="00000000" w:usb3="00000000" w:csb0="00000000" w:csb1="00000000"/>
  </w:font>
  <w:font w:name="方正仿宋简体">
    <w:altName w:val="方正仿宋_GBK"/>
    <w:panose1 w:val="02010601030101010101"/>
    <w:charset w:val="86"/>
    <w:family w:val="auto"/>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&#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WAAAAZHJzL1BLAQIUABQAAAAIAIdO4kCzSVju0AAAAAUBAAAPAAAAAAAAAAEAIAAAADgAAABk&#10;cnMvZG93bnJldi54bWxQSwECFAAUAAAACACHTuJAX8imvdwCAAAkBgAADgAAAAAAAAABACAAAAA1&#10;AQAAZHJzL2Uyb0RvYy54bWxQSwUGAAAAAAYABgBZAQAAgwY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6B74B"/>
    <w:multiLevelType w:val="singleLevel"/>
    <w:tmpl w:val="8DB6B74B"/>
    <w:lvl w:ilvl="0" w:tentative="0">
      <w:start w:val="1"/>
      <w:numFmt w:val="bullet"/>
      <w:lvlText w:val=""/>
      <w:lvlJc w:val="left"/>
      <w:pPr>
        <w:ind w:left="420" w:hanging="420"/>
      </w:pPr>
      <w:rPr>
        <w:rFonts w:hint="default" w:ascii="Wingdings" w:hAnsi="Wingdings"/>
      </w:rPr>
    </w:lvl>
  </w:abstractNum>
  <w:abstractNum w:abstractNumId="1">
    <w:nsid w:val="CFDA3F10"/>
    <w:multiLevelType w:val="singleLevel"/>
    <w:tmpl w:val="CFDA3F10"/>
    <w:lvl w:ilvl="0" w:tentative="0">
      <w:start w:val="1"/>
      <w:numFmt w:val="bullet"/>
      <w:lvlText w:val=""/>
      <w:lvlJc w:val="left"/>
      <w:pPr>
        <w:ind w:left="420" w:hanging="420"/>
      </w:pPr>
      <w:rPr>
        <w:rFonts w:hint="default" w:ascii="Wingdings" w:hAnsi="Wingdings"/>
      </w:rPr>
    </w:lvl>
  </w:abstractNum>
  <w:abstractNum w:abstractNumId="2">
    <w:nsid w:val="DEEDE41F"/>
    <w:multiLevelType w:val="singleLevel"/>
    <w:tmpl w:val="DEEDE41F"/>
    <w:lvl w:ilvl="0" w:tentative="0">
      <w:start w:val="1"/>
      <w:numFmt w:val="bullet"/>
      <w:lvlText w:val=""/>
      <w:lvlJc w:val="left"/>
      <w:pPr>
        <w:ind w:left="420" w:hanging="420"/>
      </w:pPr>
      <w:rPr>
        <w:rFonts w:hint="default" w:ascii="Wingdings" w:hAnsi="Wingdings"/>
      </w:rPr>
    </w:lvl>
  </w:abstractNum>
  <w:abstractNum w:abstractNumId="3">
    <w:nsid w:val="DFFA6A29"/>
    <w:multiLevelType w:val="singleLevel"/>
    <w:tmpl w:val="DFFA6A29"/>
    <w:lvl w:ilvl="0" w:tentative="0">
      <w:start w:val="1"/>
      <w:numFmt w:val="bullet"/>
      <w:lvlText w:val=""/>
      <w:lvlJc w:val="left"/>
      <w:pPr>
        <w:ind w:left="420" w:hanging="420"/>
      </w:pPr>
      <w:rPr>
        <w:rFonts w:hint="default" w:ascii="Wingdings" w:hAnsi="Wingdings"/>
      </w:rPr>
    </w:lvl>
  </w:abstractNum>
  <w:abstractNum w:abstractNumId="4">
    <w:nsid w:val="ECD7284E"/>
    <w:multiLevelType w:val="singleLevel"/>
    <w:tmpl w:val="ECD7284E"/>
    <w:lvl w:ilvl="0" w:tentative="0">
      <w:start w:val="1"/>
      <w:numFmt w:val="bullet"/>
      <w:lvlText w:val=""/>
      <w:lvlJc w:val="left"/>
      <w:pPr>
        <w:ind w:left="420" w:hanging="420"/>
      </w:pPr>
      <w:rPr>
        <w:rFonts w:hint="default" w:ascii="Wingdings" w:hAnsi="Wingdings"/>
      </w:rPr>
    </w:lvl>
  </w:abstractNum>
  <w:abstractNum w:abstractNumId="5">
    <w:nsid w:val="EEC8CB84"/>
    <w:multiLevelType w:val="singleLevel"/>
    <w:tmpl w:val="EEC8CB84"/>
    <w:lvl w:ilvl="0" w:tentative="0">
      <w:start w:val="1"/>
      <w:numFmt w:val="bullet"/>
      <w:lvlText w:val=""/>
      <w:lvlJc w:val="left"/>
      <w:pPr>
        <w:ind w:left="420" w:hanging="420"/>
      </w:pPr>
      <w:rPr>
        <w:rFonts w:hint="default" w:ascii="Wingdings" w:hAnsi="Wingdings"/>
      </w:rPr>
    </w:lvl>
  </w:abstractNum>
  <w:abstractNum w:abstractNumId="6">
    <w:nsid w:val="EFB6AABE"/>
    <w:multiLevelType w:val="singleLevel"/>
    <w:tmpl w:val="EFB6AABE"/>
    <w:lvl w:ilvl="0" w:tentative="0">
      <w:start w:val="1"/>
      <w:numFmt w:val="bullet"/>
      <w:lvlText w:val=""/>
      <w:lvlJc w:val="left"/>
      <w:pPr>
        <w:ind w:left="420" w:hanging="420"/>
      </w:pPr>
      <w:rPr>
        <w:rFonts w:hint="default" w:ascii="Wingdings" w:hAnsi="Wingdings"/>
      </w:rPr>
    </w:lvl>
  </w:abstractNum>
  <w:abstractNum w:abstractNumId="7">
    <w:nsid w:val="EFE18B4B"/>
    <w:multiLevelType w:val="singleLevel"/>
    <w:tmpl w:val="EFE18B4B"/>
    <w:lvl w:ilvl="0" w:tentative="0">
      <w:start w:val="1"/>
      <w:numFmt w:val="bullet"/>
      <w:lvlText w:val=""/>
      <w:lvlJc w:val="left"/>
      <w:pPr>
        <w:ind w:left="420" w:hanging="420"/>
      </w:pPr>
      <w:rPr>
        <w:rFonts w:hint="default" w:ascii="Wingdings" w:hAnsi="Wingdings"/>
      </w:rPr>
    </w:lvl>
  </w:abstractNum>
  <w:abstractNum w:abstractNumId="8">
    <w:nsid w:val="EFE9FB1B"/>
    <w:multiLevelType w:val="singleLevel"/>
    <w:tmpl w:val="EFE9FB1B"/>
    <w:lvl w:ilvl="0" w:tentative="0">
      <w:start w:val="1"/>
      <w:numFmt w:val="bullet"/>
      <w:lvlText w:val=""/>
      <w:lvlJc w:val="left"/>
      <w:pPr>
        <w:ind w:left="420" w:hanging="420"/>
      </w:pPr>
      <w:rPr>
        <w:rFonts w:hint="default" w:ascii="Wingdings" w:hAnsi="Wingdings"/>
      </w:rPr>
    </w:lvl>
  </w:abstractNum>
  <w:abstractNum w:abstractNumId="9">
    <w:nsid w:val="EFFEB770"/>
    <w:multiLevelType w:val="singleLevel"/>
    <w:tmpl w:val="EFFEB770"/>
    <w:lvl w:ilvl="0" w:tentative="0">
      <w:start w:val="1"/>
      <w:numFmt w:val="bullet"/>
      <w:lvlText w:val=""/>
      <w:lvlJc w:val="left"/>
      <w:pPr>
        <w:ind w:left="420" w:hanging="420"/>
      </w:pPr>
      <w:rPr>
        <w:rFonts w:hint="default" w:ascii="Wingdings" w:hAnsi="Wingdings"/>
      </w:rPr>
    </w:lvl>
  </w:abstractNum>
  <w:abstractNum w:abstractNumId="10">
    <w:nsid w:val="FACE2065"/>
    <w:multiLevelType w:val="singleLevel"/>
    <w:tmpl w:val="FACE2065"/>
    <w:lvl w:ilvl="0" w:tentative="0">
      <w:start w:val="1"/>
      <w:numFmt w:val="bullet"/>
      <w:lvlText w:val=""/>
      <w:lvlJc w:val="left"/>
      <w:pPr>
        <w:ind w:left="420" w:hanging="420"/>
      </w:pPr>
      <w:rPr>
        <w:rFonts w:hint="default" w:ascii="Wingdings" w:hAnsi="Wingdings"/>
      </w:rPr>
    </w:lvl>
  </w:abstractNum>
  <w:abstractNum w:abstractNumId="11">
    <w:nsid w:val="FD7B5C13"/>
    <w:multiLevelType w:val="singleLevel"/>
    <w:tmpl w:val="FD7B5C13"/>
    <w:lvl w:ilvl="0" w:tentative="0">
      <w:start w:val="1"/>
      <w:numFmt w:val="bullet"/>
      <w:lvlText w:val=""/>
      <w:lvlJc w:val="left"/>
      <w:pPr>
        <w:ind w:left="420" w:hanging="420"/>
      </w:pPr>
      <w:rPr>
        <w:rFonts w:hint="default" w:ascii="Wingdings" w:hAnsi="Wingdings"/>
      </w:rPr>
    </w:lvl>
  </w:abstractNum>
  <w:abstractNum w:abstractNumId="12">
    <w:nsid w:val="17FAAEFC"/>
    <w:multiLevelType w:val="singleLevel"/>
    <w:tmpl w:val="17FAAEFC"/>
    <w:lvl w:ilvl="0" w:tentative="0">
      <w:start w:val="2"/>
      <w:numFmt w:val="decimal"/>
      <w:suff w:val="nothing"/>
      <w:lvlText w:val="%1、"/>
      <w:lvlJc w:val="left"/>
    </w:lvl>
  </w:abstractNum>
  <w:abstractNum w:abstractNumId="13">
    <w:nsid w:val="1BF7BFE1"/>
    <w:multiLevelType w:val="singleLevel"/>
    <w:tmpl w:val="1BF7BFE1"/>
    <w:lvl w:ilvl="0" w:tentative="0">
      <w:start w:val="1"/>
      <w:numFmt w:val="bullet"/>
      <w:lvlText w:val=""/>
      <w:lvlJc w:val="left"/>
      <w:pPr>
        <w:ind w:left="420" w:hanging="420"/>
      </w:pPr>
      <w:rPr>
        <w:rFonts w:hint="default" w:ascii="Wingdings" w:hAnsi="Wingdings"/>
      </w:rPr>
    </w:lvl>
  </w:abstractNum>
  <w:abstractNum w:abstractNumId="14">
    <w:nsid w:val="5F6DF007"/>
    <w:multiLevelType w:val="singleLevel"/>
    <w:tmpl w:val="5F6DF007"/>
    <w:lvl w:ilvl="0" w:tentative="0">
      <w:start w:val="1"/>
      <w:numFmt w:val="bullet"/>
      <w:lvlText w:val=""/>
      <w:lvlJc w:val="left"/>
      <w:pPr>
        <w:ind w:left="420" w:hanging="420"/>
      </w:pPr>
      <w:rPr>
        <w:rFonts w:hint="default" w:ascii="Wingdings" w:hAnsi="Wingdings"/>
      </w:rPr>
    </w:lvl>
  </w:abstractNum>
  <w:abstractNum w:abstractNumId="15">
    <w:nsid w:val="6B6ABAC8"/>
    <w:multiLevelType w:val="singleLevel"/>
    <w:tmpl w:val="6B6ABAC8"/>
    <w:lvl w:ilvl="0" w:tentative="0">
      <w:start w:val="1"/>
      <w:numFmt w:val="chineseCounting"/>
      <w:suff w:val="space"/>
      <w:lvlText w:val="第%1章"/>
      <w:lvlJc w:val="left"/>
      <w:rPr>
        <w:rFonts w:hint="eastAsia"/>
      </w:rPr>
    </w:lvl>
  </w:abstractNum>
  <w:abstractNum w:abstractNumId="16">
    <w:nsid w:val="77FC49E9"/>
    <w:multiLevelType w:val="singleLevel"/>
    <w:tmpl w:val="77FC49E9"/>
    <w:lvl w:ilvl="0" w:tentative="0">
      <w:start w:val="1"/>
      <w:numFmt w:val="bullet"/>
      <w:lvlText w:val=""/>
      <w:lvlJc w:val="left"/>
      <w:pPr>
        <w:ind w:left="420" w:hanging="420"/>
      </w:pPr>
      <w:rPr>
        <w:rFonts w:hint="default" w:ascii="Wingdings" w:hAnsi="Wingdings"/>
      </w:rPr>
    </w:lvl>
  </w:abstractNum>
  <w:abstractNum w:abstractNumId="17">
    <w:nsid w:val="7BBFCD3B"/>
    <w:multiLevelType w:val="singleLevel"/>
    <w:tmpl w:val="7BBFCD3B"/>
    <w:lvl w:ilvl="0" w:tentative="0">
      <w:start w:val="1"/>
      <w:numFmt w:val="bullet"/>
      <w:lvlText w:val=""/>
      <w:lvlJc w:val="left"/>
      <w:pPr>
        <w:ind w:left="420" w:hanging="420"/>
      </w:pPr>
      <w:rPr>
        <w:rFonts w:hint="default" w:ascii="Wingdings" w:hAnsi="Wingdings"/>
      </w:rPr>
    </w:lvl>
  </w:abstractNum>
  <w:abstractNum w:abstractNumId="18">
    <w:nsid w:val="7BFE4A6F"/>
    <w:multiLevelType w:val="singleLevel"/>
    <w:tmpl w:val="7BFE4A6F"/>
    <w:lvl w:ilvl="0" w:tentative="0">
      <w:start w:val="1"/>
      <w:numFmt w:val="bullet"/>
      <w:lvlText w:val=""/>
      <w:lvlJc w:val="left"/>
      <w:pPr>
        <w:ind w:left="420" w:hanging="420"/>
      </w:pPr>
      <w:rPr>
        <w:rFonts w:hint="default" w:ascii="Wingdings" w:hAnsi="Wingdings"/>
      </w:rPr>
    </w:lvl>
  </w:abstractNum>
  <w:abstractNum w:abstractNumId="19">
    <w:nsid w:val="7DAE9246"/>
    <w:multiLevelType w:val="singleLevel"/>
    <w:tmpl w:val="7DAE9246"/>
    <w:lvl w:ilvl="0" w:tentative="0">
      <w:start w:val="1"/>
      <w:numFmt w:val="decimal"/>
      <w:suff w:val="nothing"/>
      <w:lvlText w:val="%1、"/>
      <w:lvlJc w:val="left"/>
    </w:lvl>
  </w:abstractNum>
  <w:num w:numId="1">
    <w:abstractNumId w:val="16"/>
  </w:num>
  <w:num w:numId="2">
    <w:abstractNumId w:val="15"/>
  </w:num>
  <w:num w:numId="3">
    <w:abstractNumId w:val="12"/>
  </w:num>
  <w:num w:numId="4">
    <w:abstractNumId w:val="5"/>
  </w:num>
  <w:num w:numId="5">
    <w:abstractNumId w:val="0"/>
  </w:num>
  <w:num w:numId="6">
    <w:abstractNumId w:val="3"/>
  </w:num>
  <w:num w:numId="7">
    <w:abstractNumId w:val="10"/>
  </w:num>
  <w:num w:numId="8">
    <w:abstractNumId w:val="2"/>
  </w:num>
  <w:num w:numId="9">
    <w:abstractNumId w:val="19"/>
  </w:num>
  <w:num w:numId="10">
    <w:abstractNumId w:val="7"/>
  </w:num>
  <w:num w:numId="11">
    <w:abstractNumId w:val="9"/>
  </w:num>
  <w:num w:numId="12">
    <w:abstractNumId w:val="4"/>
  </w:num>
  <w:num w:numId="13">
    <w:abstractNumId w:val="14"/>
  </w:num>
  <w:num w:numId="14">
    <w:abstractNumId w:val="8"/>
  </w:num>
  <w:num w:numId="15">
    <w:abstractNumId w:val="17"/>
  </w:num>
  <w:num w:numId="16">
    <w:abstractNumId w:val="11"/>
  </w:num>
  <w:num w:numId="17">
    <w:abstractNumId w:val="13"/>
  </w:num>
  <w:num w:numId="18">
    <w:abstractNumId w:val="18"/>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EEA890"/>
    <w:rsid w:val="1B3AA0DD"/>
    <w:rsid w:val="1BFF5E68"/>
    <w:rsid w:val="2BE89570"/>
    <w:rsid w:val="2FFBA267"/>
    <w:rsid w:val="2FFC0101"/>
    <w:rsid w:val="3776764E"/>
    <w:rsid w:val="3BE9AB92"/>
    <w:rsid w:val="3BFF95FD"/>
    <w:rsid w:val="3EEB4B75"/>
    <w:rsid w:val="3FF709EB"/>
    <w:rsid w:val="4EDBF7C3"/>
    <w:rsid w:val="53FF72BB"/>
    <w:rsid w:val="53FFCE65"/>
    <w:rsid w:val="55BD7162"/>
    <w:rsid w:val="575E0D93"/>
    <w:rsid w:val="57BF39C6"/>
    <w:rsid w:val="5A1BBBA5"/>
    <w:rsid w:val="5F8F921F"/>
    <w:rsid w:val="5FB72F9A"/>
    <w:rsid w:val="5FDBE9A9"/>
    <w:rsid w:val="63CDDEFB"/>
    <w:rsid w:val="6C9525CF"/>
    <w:rsid w:val="6DB9510D"/>
    <w:rsid w:val="6F6B3FB7"/>
    <w:rsid w:val="6FBEB1AB"/>
    <w:rsid w:val="6FCFB16C"/>
    <w:rsid w:val="6FFDD941"/>
    <w:rsid w:val="764FDEB4"/>
    <w:rsid w:val="76FB491D"/>
    <w:rsid w:val="7A9A7675"/>
    <w:rsid w:val="7ADF29B1"/>
    <w:rsid w:val="7BFFEE46"/>
    <w:rsid w:val="7C7FC6EA"/>
    <w:rsid w:val="7CB73593"/>
    <w:rsid w:val="7CFD6EEF"/>
    <w:rsid w:val="7DF75C69"/>
    <w:rsid w:val="7DFDF3B1"/>
    <w:rsid w:val="7E652B38"/>
    <w:rsid w:val="7E7FD8C8"/>
    <w:rsid w:val="7F9FD144"/>
    <w:rsid w:val="7FDD36E2"/>
    <w:rsid w:val="7FF73AD3"/>
    <w:rsid w:val="7FFB1C79"/>
    <w:rsid w:val="8E7EC722"/>
    <w:rsid w:val="8EEE8E3E"/>
    <w:rsid w:val="AF7AC69A"/>
    <w:rsid w:val="B3AF0CF4"/>
    <w:rsid w:val="B3D5C5E2"/>
    <w:rsid w:val="B3DB05E3"/>
    <w:rsid w:val="B79F8CF7"/>
    <w:rsid w:val="B9EB1158"/>
    <w:rsid w:val="BEEB3DF5"/>
    <w:rsid w:val="CBFF2D57"/>
    <w:rsid w:val="CDFBD69F"/>
    <w:rsid w:val="D73F32BE"/>
    <w:rsid w:val="D79F7AAC"/>
    <w:rsid w:val="DBFF6FC8"/>
    <w:rsid w:val="DEEB10A5"/>
    <w:rsid w:val="DEFA5107"/>
    <w:rsid w:val="DF5C034D"/>
    <w:rsid w:val="DFBFB012"/>
    <w:rsid w:val="DFFBC8BC"/>
    <w:rsid w:val="E3F7A8CF"/>
    <w:rsid w:val="EBFBF2FC"/>
    <w:rsid w:val="EF8D0349"/>
    <w:rsid w:val="F1BB1874"/>
    <w:rsid w:val="F36FA9BC"/>
    <w:rsid w:val="F3FF29F9"/>
    <w:rsid w:val="F43A6B7D"/>
    <w:rsid w:val="F7BF6750"/>
    <w:rsid w:val="F82A9677"/>
    <w:rsid w:val="FBFB5510"/>
    <w:rsid w:val="FCFEB81E"/>
    <w:rsid w:val="FD553F9B"/>
    <w:rsid w:val="FE3A92C8"/>
    <w:rsid w:val="FE753169"/>
    <w:rsid w:val="FEDFAF70"/>
    <w:rsid w:val="FEDFC048"/>
    <w:rsid w:val="FF32265A"/>
    <w:rsid w:val="FF7F7AA0"/>
    <w:rsid w:val="FF9A1E14"/>
    <w:rsid w:val="FFDDBD75"/>
    <w:rsid w:val="FFE5ACC4"/>
    <w:rsid w:val="FFEC5D79"/>
    <w:rsid w:val="FFEEA890"/>
    <w:rsid w:val="FFEFE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Indent 2"/>
    <w:basedOn w:val="1"/>
    <w:qFormat/>
    <w:uiPriority w:val="0"/>
    <w:pPr>
      <w:spacing w:after="120" w:afterLines="0" w:afterAutospacing="0" w:line="480" w:lineRule="auto"/>
      <w:ind w:left="420" w:leftChars="200"/>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e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7.emf"/><Relationship Id="rId28" Type="http://schemas.openxmlformats.org/officeDocument/2006/relationships/oleObject" Target="embeddings/oleObject7.bin"/><Relationship Id="rId27" Type="http://schemas.openxmlformats.org/officeDocument/2006/relationships/image" Target="media/image16.emf"/><Relationship Id="rId26" Type="http://schemas.openxmlformats.org/officeDocument/2006/relationships/oleObject" Target="embeddings/oleObject6.bin"/><Relationship Id="rId25" Type="http://schemas.openxmlformats.org/officeDocument/2006/relationships/image" Target="media/image15.emf"/><Relationship Id="rId24" Type="http://schemas.openxmlformats.org/officeDocument/2006/relationships/oleObject" Target="embeddings/oleObject5.bin"/><Relationship Id="rId23" Type="http://schemas.openxmlformats.org/officeDocument/2006/relationships/image" Target="media/image14.emf"/><Relationship Id="rId22" Type="http://schemas.openxmlformats.org/officeDocument/2006/relationships/oleObject" Target="embeddings/oleObject4.bin"/><Relationship Id="rId21" Type="http://schemas.openxmlformats.org/officeDocument/2006/relationships/image" Target="media/image1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emf"/><Relationship Id="rId11" Type="http://schemas.openxmlformats.org/officeDocument/2006/relationships/oleObject" Target="embeddings/oleObject2.bin"/><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Office_6.0.1.8148_F1E327BC-269C-435d-A152-05C5408002CA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2023-09-08T13:56:00Z</dcterms:created>
  <dc:creator>杨曦</dc:creator>
  <cp:lastModifiedBy>杨曦</cp:lastModifiedBy>
  <dcterms:modified xsi:type="dcterms:W3CDTF">2023-09-08T16:30:46Z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2052-6.0.1.8148</vt:lpwstr>
  </property>
  <property fmtid="{D5CDD505-2E9C-101B-9397-08002B2CF9AE}" pid="3" name="ICV">
    <vt:lpwstr>C777634911C0F75E9AB7FA64A31CB9C2_41</vt:lpwstr>
  </property>
</Properties>
</file>