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长沙客户要求要按照排污许可证来设置企业，原平台：加加食品集团股份有限公司下，有多个排口，对应2个排污许可证，现需拆分成2个企业。</w:t>
      </w:r>
    </w:p>
    <w:p>
      <w:r>
        <w:drawing>
          <wp:inline distT="0" distB="0" distL="114300" distR="114300">
            <wp:extent cx="5266055" cy="667385"/>
            <wp:effectExtent l="0" t="0" r="698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497580" cy="285750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其中，白马桥基地污水排放口（DW001）迁移到新建一个企业：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3F3F3"/>
        </w:rPr>
        <w:t>加加食品集团股份有限公司白马桥基地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YjM1NDEwNTQ0ZGQ2NGJhYjVkNGFhODE5MTAzMTcifQ=="/>
  </w:docVars>
  <w:rsids>
    <w:rsidRoot w:val="00000000"/>
    <w:rsid w:val="587C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2023-06-13T04:58:41Z</dcterms:created>
  <dc:creator>98544</dc:creator>
  <cp:lastModifiedBy>O  y</cp:lastModifiedBy>
  <dcterms:modified xsi:type="dcterms:W3CDTF">2023-06-13T05:00:26Z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FAE8DF879C0F4BA5B6227BD9C23B4578_12</vt:lpwstr>
  </property>
</Properties>
</file>