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长沙客户要求要按照排污许可证来设置企业，原平台：浏阳经开区污水处理工程有限公司下，有多个排口，对应2个排污许可证，现需拆分成2个企业。</w:t>
      </w:r>
    </w:p>
    <w:p>
      <w:r>
        <w:drawing>
          <wp:inline distT="0" distB="0" distL="114300" distR="114300">
            <wp:extent cx="5271770" cy="131318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139440" cy="20269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其中，北园进水口、北园出水口（DW001）迁移到新建一个企业：浏阳经开区污水处理工程有限公司—浏阳经开区北园污水处理厂。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jM1NDEwNTQ0ZGQ2NGJhYjVkNGFhODE5MTAzMTcifQ=="/>
  </w:docVars>
  <w:rsids>
    <w:rsidRoot w:val="00000000"/>
    <w:rsid w:val="4D7B3AD7"/>
    <w:rsid w:val="71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2023-06-13T04:30:07Z</dcterms:created>
  <dc:creator>98544</dc:creator>
  <cp:lastModifiedBy>O  y</cp:lastModifiedBy>
  <dcterms:modified xsi:type="dcterms:W3CDTF">2023-06-13T04:38:07Z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E1DD1398249446C99875C630C534C3A9_12</vt:lpwstr>
  </property>
</Properties>
</file>