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2"/>
        </w:numPr>
        <w:tabs>
          <w:tab w:val="clear" w:pos="567"/>
        </w:tabs>
        <w:rPr>
          <w:rFonts w:ascii="Times New Roman" w:hAnsi="Times New Roman"/>
          <w:color w:val="000000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Times New Roman" w:hAnsi="Times New Roman"/>
          <w:color w:val="000000"/>
          <w:sz w:val="30"/>
          <w:szCs w:val="30"/>
          <w:lang w:val="en-US"/>
        </w:rPr>
        <w:t>web.xml 配置文件泄露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68"/>
        <w:gridCol w:w="71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漏洞序号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漏洞名称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web.xml 配置文件泄露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12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漏洞位置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https://sqhjzd.weihai.cn/jointframe/web/WEB-INF/web.xml（</w:t>
            </w:r>
            <w:r>
              <w:rPr>
                <w:rFonts w:hint="eastAsia"/>
                <w:color w:val="000000"/>
                <w:szCs w:val="21"/>
              </w:rPr>
              <w:t>重点污染源自动监控与基础数据库系统V4.2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7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风险等级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中危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16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漏洞说明</w:t>
            </w:r>
          </w:p>
        </w:tc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WEB -INF/web.xml部署描述符文件描述了如何在 Tomcat 等 servlet 容器中部署 Web 应用程序。通常，这个文件应该是不可访问的。但是，能通过使用各种编码和目录遍历变体来读取该文件的内容。</w:t>
            </w:r>
          </w:p>
          <w:p>
            <w:pPr>
              <w:spacing w:line="360" w:lineRule="auto"/>
            </w:pPr>
            <w:r>
              <w:drawing>
                <wp:inline distT="0" distB="0" distL="114300" distR="114300">
                  <wp:extent cx="4392930" cy="2823210"/>
                  <wp:effectExtent l="0" t="0" r="11430" b="1143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930" cy="28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2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漏洞危害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配置文件会泄露敏感信息，帮助恶意用户准备更高级的攻击。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安全建议</w:t>
            </w:r>
          </w:p>
        </w:tc>
        <w:tc>
          <w:tcPr>
            <w:tcW w:w="71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Segoe UI Emoji" w:hAnsi="Segoe UI Emoji" w:cs="Segoe UI Emoji"/>
                <w:color w:val="222222"/>
                <w:spacing w:val="4"/>
                <w:sz w:val="24"/>
              </w:rPr>
            </w:pPr>
            <w:r>
              <w:rPr>
                <w:rFonts w:hint="eastAsia" w:ascii="Segoe UI Emoji" w:hAnsi="Segoe UI Emoji" w:cs="Segoe UI Emoji"/>
                <w:color w:val="222222"/>
                <w:spacing w:val="4"/>
                <w:sz w:val="24"/>
              </w:rPr>
              <w:t>限制对此文件的访问。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77C86"/>
    <w:multiLevelType w:val="multilevel"/>
    <w:tmpl w:val="7F177C8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ascii="宋体" w:hAns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1080"/>
        </w:tabs>
        <w:ind w:left="709" w:hanging="709"/>
      </w:pPr>
      <w:rPr>
        <w:rFonts w:hint="eastAsia" w:ascii="Calibri" w:hAnsi="Calibri" w:eastAsia="宋体"/>
        <w:b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851" w:hanging="851"/>
      </w:pPr>
      <w:rPr>
        <w:rFonts w:hint="eastAsia" w:ascii="宋体" w:hAnsi="宋体" w:eastAsia="宋体"/>
        <w:b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 w:ascii="宋体" w:hAnsi="宋体" w:eastAsia="宋体"/>
        <w:b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800"/>
        </w:tabs>
        <w:ind w:left="1134" w:hanging="1134"/>
      </w:pPr>
      <w:rPr>
        <w:rFonts w:hint="eastAsia" w:ascii="宋体" w:hAnsi="宋体" w:eastAsia="宋体"/>
        <w:b/>
        <w:i w:val="0"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520"/>
        </w:tabs>
        <w:ind w:left="1418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80"/>
        </w:tabs>
        <w:ind w:left="1559" w:hanging="1559"/>
      </w:pPr>
      <w:rPr>
        <w:rFonts w:hint="eastAsia" w:ascii="宋体" w:hAnsi="宋体" w:eastAsia="宋体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02EF"/>
    <w:rsid w:val="3EAB0813"/>
    <w:rsid w:val="F8F8D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宋体" w:hAnsi="Arial"/>
      <w:b/>
      <w:bCs/>
      <w:sz w:val="24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98156</cp:lastModifiedBy>
  <dcterms:modified xsi:type="dcterms:W3CDTF">2023-04-25T01:25:13Z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964C7296C7B847F3835353187CFE6B68</vt:lpwstr>
  </property>
</Properties>
</file>