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8FED91">
      <w:pPr>
        <w:jc w:val="center"/>
        <w:rPr>
          <w:rFonts w:ascii="黑体" w:hAnsi="黑体" w:eastAsia="黑体"/>
          <w:sz w:val="24"/>
        </w:rPr>
      </w:pPr>
    </w:p>
    <w:p w14:paraId="2B71BC69"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</w:t>
      </w:r>
      <w:r>
        <w:rPr>
          <w:rFonts w:ascii="黑体" w:hAnsi="黑体" w:eastAsia="黑体"/>
          <w:sz w:val="52"/>
        </w:rPr>
        <w:t>2</w:t>
      </w:r>
      <w:r>
        <w:rPr>
          <w:rFonts w:hint="eastAsia" w:ascii="黑体" w:hAnsi="黑体" w:eastAsia="黑体"/>
          <w:sz w:val="52"/>
          <w:lang w:val="en-US" w:eastAsia="zh-CN"/>
        </w:rPr>
        <w:t>5</w:t>
      </w:r>
      <w:r>
        <w:rPr>
          <w:rFonts w:hint="eastAsia" w:ascii="黑体" w:hAnsi="黑体" w:eastAsia="黑体"/>
          <w:sz w:val="52"/>
        </w:rPr>
        <w:t>年</w:t>
      </w:r>
      <w:r>
        <w:rPr>
          <w:rFonts w:ascii="黑体" w:hAnsi="黑体" w:eastAsia="黑体"/>
          <w:sz w:val="52"/>
        </w:rPr>
        <w:t>第</w:t>
      </w:r>
      <w:r>
        <w:rPr>
          <w:rFonts w:hint="eastAsia" w:ascii="黑体" w:hAnsi="黑体" w:eastAsia="黑体"/>
          <w:sz w:val="52"/>
          <w:lang w:val="en-US" w:eastAsia="zh-CN"/>
        </w:rPr>
        <w:t>21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p w14:paraId="2D507BD3">
      <w:pPr>
        <w:jc w:val="center"/>
        <w:rPr>
          <w:rFonts w:ascii="黑体" w:hAnsi="黑体" w:eastAsia="黑体"/>
          <w:sz w:val="24"/>
        </w:rPr>
      </w:pPr>
    </w:p>
    <w:tbl>
      <w:tblPr>
        <w:tblStyle w:val="1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69"/>
        <w:gridCol w:w="1496"/>
        <w:gridCol w:w="3157"/>
      </w:tblGrid>
      <w:tr w14:paraId="124D0D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0419E3DB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本周服务推广工作</w:t>
            </w:r>
          </w:p>
        </w:tc>
      </w:tr>
      <w:tr w14:paraId="4A9A54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5" w:hRule="atLeast"/>
        </w:trPr>
        <w:tc>
          <w:tcPr>
            <w:tcW w:w="8522" w:type="dxa"/>
            <w:gridSpan w:val="3"/>
            <w:shd w:val="clear" w:color="auto" w:fill="auto"/>
          </w:tcPr>
          <w:p w14:paraId="690CF0EA"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  <w:p w14:paraId="5EC45F5E"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江西动管改造思路与仪表厂商联络沟通。</w:t>
            </w:r>
          </w:p>
          <w:p w14:paraId="7166FF7B"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瀚蓝三期平台沟通工作。</w:t>
            </w:r>
          </w:p>
          <w:p w14:paraId="5B4E66A6"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福建省下半年平台融合要点沟通。</w:t>
            </w:r>
          </w:p>
          <w:p w14:paraId="7A17A31D"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厦门辅助执法投标。</w:t>
            </w:r>
          </w:p>
          <w:p w14:paraId="1B720EC3"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default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福建国发平台服务验收。</w:t>
            </w:r>
          </w:p>
          <w:p w14:paraId="46CB877F"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乐平市应急+巡查舆情事件处置。</w:t>
            </w:r>
          </w:p>
          <w:p w14:paraId="0D452DBD"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default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7F4DA8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568954CA"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二、重点大项工作进展</w:t>
            </w:r>
          </w:p>
        </w:tc>
      </w:tr>
      <w:tr w14:paraId="07268D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3869" w:type="dxa"/>
            <w:shd w:val="clear" w:color="auto" w:fill="auto"/>
            <w:vAlign w:val="center"/>
          </w:tcPr>
          <w:p w14:paraId="18EB339B"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</w:t>
            </w:r>
            <w:r>
              <w:rPr>
                <w:rFonts w:ascii="仿宋" w:hAnsi="仿宋" w:eastAsia="仿宋"/>
                <w:b/>
                <w:szCs w:val="21"/>
              </w:rPr>
              <w:t>作项</w:t>
            </w:r>
          </w:p>
        </w:tc>
        <w:tc>
          <w:tcPr>
            <w:tcW w:w="1496" w:type="dxa"/>
            <w:shd w:val="clear" w:color="auto" w:fill="auto"/>
            <w:vAlign w:val="center"/>
          </w:tcPr>
          <w:p w14:paraId="0E498CD1"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完成</w:t>
            </w:r>
            <w:r>
              <w:rPr>
                <w:rFonts w:ascii="仿宋" w:hAnsi="仿宋" w:eastAsia="仿宋"/>
                <w:b/>
                <w:szCs w:val="21"/>
              </w:rPr>
              <w:t>状态</w:t>
            </w:r>
          </w:p>
        </w:tc>
        <w:tc>
          <w:tcPr>
            <w:tcW w:w="3157" w:type="dxa"/>
            <w:shd w:val="clear" w:color="auto" w:fill="auto"/>
            <w:vAlign w:val="center"/>
          </w:tcPr>
          <w:p w14:paraId="094313B0"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问</w:t>
            </w:r>
            <w:r>
              <w:rPr>
                <w:rFonts w:ascii="仿宋" w:hAnsi="仿宋" w:eastAsia="仿宋"/>
                <w:b/>
                <w:szCs w:val="21"/>
              </w:rPr>
              <w:t>题</w:t>
            </w:r>
          </w:p>
        </w:tc>
      </w:tr>
      <w:tr w14:paraId="4861AC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3869" w:type="dxa"/>
            <w:shd w:val="clear" w:color="auto" w:fill="auto"/>
          </w:tcPr>
          <w:p w14:paraId="3F5C1B56">
            <w:pPr>
              <w:ind w:left="420" w:leftChars="200" w:firstLine="5" w:firstLineChars="2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</w:rPr>
              <w:t>本周处理的主要服务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126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</w:rPr>
              <w:t>，完成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129。</w:t>
            </w:r>
          </w:p>
        </w:tc>
        <w:tc>
          <w:tcPr>
            <w:tcW w:w="1496" w:type="dxa"/>
            <w:shd w:val="clear" w:color="auto" w:fill="auto"/>
          </w:tcPr>
          <w:p w14:paraId="03DD96B5"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97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</w:rPr>
              <w:t>%</w:t>
            </w:r>
          </w:p>
        </w:tc>
        <w:tc>
          <w:tcPr>
            <w:tcW w:w="3157" w:type="dxa"/>
            <w:shd w:val="clear" w:color="auto" w:fill="auto"/>
          </w:tcPr>
          <w:p w14:paraId="1E5001EB"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</w:tr>
      <w:tr w14:paraId="714B98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3869" w:type="dxa"/>
            <w:shd w:val="clear" w:color="auto" w:fill="auto"/>
          </w:tcPr>
          <w:p w14:paraId="6D02DA83">
            <w:pPr>
              <w:ind w:left="420" w:leftChars="200" w:firstLine="5" w:firstLineChars="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7B394101"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0C69E766"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</w:tr>
      <w:tr w14:paraId="3C0565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3869" w:type="dxa"/>
            <w:shd w:val="clear" w:color="auto" w:fill="auto"/>
          </w:tcPr>
          <w:p w14:paraId="4DBE96CE">
            <w:pPr>
              <w:ind w:left="420" w:leftChars="200" w:firstLine="5" w:firstLineChars="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25C8074C"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6E09FB2E"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</w:tr>
      <w:tr w14:paraId="609717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3869" w:type="dxa"/>
            <w:shd w:val="clear" w:color="auto" w:fill="auto"/>
          </w:tcPr>
          <w:p w14:paraId="13B22645">
            <w:pPr>
              <w:ind w:left="420" w:leftChars="200" w:firstLine="5" w:firstLineChars="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72A9DEFE"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3CE94F05"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</w:tr>
      <w:tr w14:paraId="026591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shd w:val="clear" w:color="auto" w:fill="auto"/>
          </w:tcPr>
          <w:p w14:paraId="087ABE11"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三、下周重点保障工作</w:t>
            </w:r>
          </w:p>
        </w:tc>
      </w:tr>
      <w:tr w14:paraId="58DD47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6" w:hRule="atLeast"/>
        </w:trPr>
        <w:tc>
          <w:tcPr>
            <w:tcW w:w="8522" w:type="dxa"/>
            <w:gridSpan w:val="3"/>
            <w:shd w:val="clear" w:color="auto" w:fill="auto"/>
          </w:tcPr>
          <w:p w14:paraId="24A9AFD7"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乐平市应急+巡查舆情事件处置。</w:t>
            </w:r>
          </w:p>
          <w:p w14:paraId="74E9897B"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大区销售半年会议。</w:t>
            </w:r>
          </w:p>
          <w:p w14:paraId="5028C23A"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厦门辅助执法合同签订。</w:t>
            </w:r>
          </w:p>
          <w:p w14:paraId="40E3404B"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易应急推广。</w:t>
            </w:r>
          </w:p>
          <w:p w14:paraId="36B3607E"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default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年度预算申报工作方案启动。</w:t>
            </w:r>
            <w:bookmarkStart w:id="2" w:name="_GoBack"/>
            <w:bookmarkEnd w:id="2"/>
          </w:p>
        </w:tc>
      </w:tr>
    </w:tbl>
    <w:p w14:paraId="2A703B9F">
      <w:pPr>
        <w:wordWrap w:val="0"/>
        <w:ind w:right="5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此处</w:t>
      </w:r>
      <w:r>
        <w:rPr>
          <w:rFonts w:ascii="仿宋" w:hAnsi="仿宋" w:eastAsia="仿宋"/>
          <w:sz w:val="28"/>
          <w:szCs w:val="28"/>
        </w:rPr>
        <w:t xml:space="preserve">填写编制人 </w:t>
      </w:r>
      <w:r>
        <w:rPr>
          <w:rFonts w:hint="eastAsia" w:ascii="仿宋" w:hAnsi="仿宋" w:eastAsia="仿宋"/>
          <w:sz w:val="28"/>
          <w:szCs w:val="28"/>
        </w:rPr>
        <w:t>：</w:t>
      </w:r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 xml:space="preserve">黄于明                           </w:t>
      </w:r>
      <w:r>
        <w:rPr>
          <w:rFonts w:ascii="仿宋" w:hAnsi="仿宋" w:eastAsia="仿宋"/>
          <w:sz w:val="28"/>
          <w:szCs w:val="28"/>
        </w:rPr>
        <w:t xml:space="preserve">  </w:t>
      </w:r>
      <w:bookmarkStart w:id="0" w:name="OLE_LINK2"/>
      <w:bookmarkStart w:id="1" w:name="OLE_LINK3"/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</w:rPr>
        <w:t xml:space="preserve"> 202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5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5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23</w:t>
      </w:r>
      <w:r>
        <w:rPr>
          <w:rFonts w:hint="eastAsia" w:ascii="仿宋" w:hAnsi="仿宋" w:eastAsia="仿宋"/>
          <w:sz w:val="28"/>
          <w:szCs w:val="28"/>
        </w:rPr>
        <w:t>日</w:t>
      </w:r>
      <w:bookmarkEnd w:id="0"/>
      <w:bookmarkEnd w:id="1"/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97C220">
    <w:pPr>
      <w:pStyle w:val="13"/>
      <w:jc w:val="right"/>
    </w:pPr>
    <w:r>
      <w:rPr>
        <w:sz w:val="20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828800" cy="209550"/>
          <wp:effectExtent l="0" t="0" r="0" b="0"/>
          <wp:wrapNone/>
          <wp:docPr id="4099" name="Image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9" name="Image1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28800" cy="20955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0" cy="0"/>
              <wp:effectExtent l="0" t="0" r="0" b="0"/>
              <wp:wrapNone/>
              <wp:docPr id="4100" name="410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4100" o:spid="_x0000_s1026" o:spt="20" style="position:absolute;left:0pt;margin-left:0pt;margin-top:0pt;height:0pt;width:0pt;z-index:251659264;mso-width-relative:page;mso-height-relative:page;" fillcolor="#FFFFFF" filled="t" stroked="t" coordsize="21600,21600" o:gfxdata="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M+4&#10;ULjOAAAA/wAAAA8AAAAAAAAAAQAgAAAAIgAAAGRycy9kb3ducmV2LnhtbFBLAQIUABQAAAAIAIdO&#10;4kBmPF7QuwEAALIDAAAOAAAAAAAAAAEAIAAAAB0BAABkcnMvZTJvRG9jLnhtbFBLBQYAAAAABgAG&#10;AFkBAABKBQAAAAA=&#10;">
              <v:fill on="t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 w14:paraId="7DCCA697">
    <w:pPr>
      <w:pStyle w:val="13"/>
    </w:pPr>
  </w:p>
  <w:p w14:paraId="3CEFCC90">
    <w:pPr>
      <w:pStyle w:val="13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7CD891">
    <w:pPr>
      <w:pStyle w:val="14"/>
      <w:pBdr>
        <w:bottom w:val="single" w:color="auto" w:sz="6" w:space="0"/>
      </w:pBdr>
    </w:pPr>
    <w:r>
      <w:rPr>
        <w:sz w:val="20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485900" cy="332740"/>
          <wp:effectExtent l="0" t="0" r="0" b="0"/>
          <wp:wrapTopAndBottom/>
          <wp:docPr id="4097" name="Image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Image1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85900" cy="33274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  <w:p w14:paraId="4B44FFEB">
    <w:pPr>
      <w:pStyle w:val="14"/>
      <w:pBdr>
        <w:bottom w:val="single" w:color="auto" w:sz="6" w:space="0"/>
      </w:pBdr>
      <w:jc w:val="right"/>
    </w:pPr>
    <w:r>
      <w:rPr>
        <w:sz w:val="20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0" cy="0"/>
              <wp:effectExtent l="0" t="0" r="0" b="0"/>
              <wp:wrapNone/>
              <wp:docPr id="4098" name="40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solidFill>
                        <a:srgbClr val="FFFFFF"/>
                      </a:solidFill>
                      <a:ln w="12700" cap="flat" cmpd="sng">
                        <a:solidFill>
                          <a:srgbClr val="000000"/>
                        </a:solidFill>
                        <a:prstDash val="solid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4098" o:spid="_x0000_s1026" o:spt="20" style="position:absolute;left:0pt;margin-left:0pt;margin-top:0pt;height:0pt;width:0pt;z-index:251659264;mso-width-relative:page;mso-height-relative:page;" fillcolor="#FFFFFF" filled="t" stroked="t" coordsize="21600,21600" o:gfxdata="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C9&#10;mjrUzwAAAP8AAAAPAAAAAAAAAAEAIAAAACIAAABkcnMvZG93bnJldi54bWxQSwECFAAUAAAACACH&#10;TuJApEbDLbsBAACzAwAADgAAAAAAAAABACAAAAAeAQAAZHJzL2Uyb0RvYy54bWxQSwUGAAAAAAYA&#10;BgBZAQAASwUAAAAA&#10;">
              <v:fill on="t" focussize="0,0"/>
              <v:stroke weight="1pt" color="#000000" joinstyle="round"/>
              <v:imagedata o:title=""/>
              <o:lock v:ext="edit" aspectratio="f"/>
            </v:line>
          </w:pict>
        </mc:Fallback>
      </mc:AlternateContent>
    </w:r>
  </w:p>
  <w:p w14:paraId="7C2D7B33">
    <w:pPr>
      <w:pStyle w:val="14"/>
      <w:pBdr>
        <w:bottom w:val="single" w:color="auto" w:sz="6" w:space="0"/>
      </w:pBdr>
      <w:wordWrap w:val="0"/>
      <w:jc w:val="right"/>
    </w:pPr>
    <w:r>
      <w:rPr>
        <w:rFonts w:hint="eastAsia"/>
      </w:rPr>
      <w:t>浙闽赣大区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bullet"/>
      <w:pStyle w:val="1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1">
    <w:nsid w:val="00000001"/>
    <w:multiLevelType w:val="multilevel"/>
    <w:tmpl w:val="00000001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 w:ascii="黑体" w:hAnsi="黑体" w:eastAsia="黑体"/>
        <w:sz w:val="32"/>
      </w:rPr>
    </w:lvl>
    <w:lvl w:ilvl="1" w:tentative="0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0000002"/>
    <w:multiLevelType w:val="multilevel"/>
    <w:tmpl w:val="00000002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3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4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5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6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7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8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9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0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bordersDoNotSurroundHeader w:val="0"/>
  <w:bordersDoNotSurroundFooter w:val="0"/>
  <w:documentProtection w:enforcement="0"/>
  <w:defaultTabStop w:val="42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1"/>
  </w:compat>
  <w:docVars>
    <w:docVar w:name="commondata" w:val="eyJoZGlkIjoiMWQxYTdiYTk1OGJjMDEwNWJiOWQ1MzgzMzE3YjEzOGQifQ=="/>
  </w:docVars>
  <w:rsids>
    <w:rsidRoot w:val="00000000"/>
    <w:rsid w:val="003752C8"/>
    <w:rsid w:val="01583B96"/>
    <w:rsid w:val="028B5457"/>
    <w:rsid w:val="04555822"/>
    <w:rsid w:val="0535344A"/>
    <w:rsid w:val="05C96366"/>
    <w:rsid w:val="07FA269F"/>
    <w:rsid w:val="0800207A"/>
    <w:rsid w:val="096E7880"/>
    <w:rsid w:val="09D26061"/>
    <w:rsid w:val="0A801619"/>
    <w:rsid w:val="0AB628F4"/>
    <w:rsid w:val="0ACC485F"/>
    <w:rsid w:val="0ACF3739"/>
    <w:rsid w:val="0B1E26E0"/>
    <w:rsid w:val="0C7D0506"/>
    <w:rsid w:val="0CFD33F5"/>
    <w:rsid w:val="0F2C6214"/>
    <w:rsid w:val="0F67724C"/>
    <w:rsid w:val="11851C0B"/>
    <w:rsid w:val="118806FE"/>
    <w:rsid w:val="11BA1348"/>
    <w:rsid w:val="11C56245"/>
    <w:rsid w:val="12F8118C"/>
    <w:rsid w:val="18B86D43"/>
    <w:rsid w:val="1A59631C"/>
    <w:rsid w:val="1AF45937"/>
    <w:rsid w:val="1AF635E9"/>
    <w:rsid w:val="1B6F1962"/>
    <w:rsid w:val="1D0670DF"/>
    <w:rsid w:val="1E63196B"/>
    <w:rsid w:val="20075B68"/>
    <w:rsid w:val="20262694"/>
    <w:rsid w:val="20711CD8"/>
    <w:rsid w:val="222A213F"/>
    <w:rsid w:val="241C1F5B"/>
    <w:rsid w:val="24E02EBD"/>
    <w:rsid w:val="253F23A5"/>
    <w:rsid w:val="254E25E8"/>
    <w:rsid w:val="258F29F5"/>
    <w:rsid w:val="27015EA6"/>
    <w:rsid w:val="27CC2C0A"/>
    <w:rsid w:val="27D56FF1"/>
    <w:rsid w:val="28A47862"/>
    <w:rsid w:val="28D3720C"/>
    <w:rsid w:val="2A21651D"/>
    <w:rsid w:val="2D880661"/>
    <w:rsid w:val="2F557917"/>
    <w:rsid w:val="2F601896"/>
    <w:rsid w:val="314C19E2"/>
    <w:rsid w:val="31880C30"/>
    <w:rsid w:val="31C0355F"/>
    <w:rsid w:val="32D73ED8"/>
    <w:rsid w:val="34F85034"/>
    <w:rsid w:val="37781747"/>
    <w:rsid w:val="37F3201B"/>
    <w:rsid w:val="38B0525B"/>
    <w:rsid w:val="3AF87E1D"/>
    <w:rsid w:val="3B83521D"/>
    <w:rsid w:val="3BD42892"/>
    <w:rsid w:val="3C19792F"/>
    <w:rsid w:val="3CF90C34"/>
    <w:rsid w:val="3CFB49AC"/>
    <w:rsid w:val="3F740A45"/>
    <w:rsid w:val="3F922E0F"/>
    <w:rsid w:val="40844CB8"/>
    <w:rsid w:val="40F21986"/>
    <w:rsid w:val="44E346A3"/>
    <w:rsid w:val="48B80048"/>
    <w:rsid w:val="497F6965"/>
    <w:rsid w:val="49A62143"/>
    <w:rsid w:val="4A631DE2"/>
    <w:rsid w:val="4CFD02CC"/>
    <w:rsid w:val="4D0F70B3"/>
    <w:rsid w:val="4E9E6B19"/>
    <w:rsid w:val="4F130283"/>
    <w:rsid w:val="4F427227"/>
    <w:rsid w:val="52312590"/>
    <w:rsid w:val="54354498"/>
    <w:rsid w:val="54534E8E"/>
    <w:rsid w:val="54AF6350"/>
    <w:rsid w:val="557902C2"/>
    <w:rsid w:val="56741825"/>
    <w:rsid w:val="568D26C1"/>
    <w:rsid w:val="58BC728D"/>
    <w:rsid w:val="58EC0820"/>
    <w:rsid w:val="5A5678C8"/>
    <w:rsid w:val="5A5E087E"/>
    <w:rsid w:val="5A8B6B20"/>
    <w:rsid w:val="62257C51"/>
    <w:rsid w:val="625226E7"/>
    <w:rsid w:val="63316ACA"/>
    <w:rsid w:val="647B624F"/>
    <w:rsid w:val="64B15671"/>
    <w:rsid w:val="684908F1"/>
    <w:rsid w:val="687731D1"/>
    <w:rsid w:val="691906DE"/>
    <w:rsid w:val="6987247B"/>
    <w:rsid w:val="6A941E18"/>
    <w:rsid w:val="6BB64010"/>
    <w:rsid w:val="6C7D608B"/>
    <w:rsid w:val="6D2E262D"/>
    <w:rsid w:val="6D3F3DB8"/>
    <w:rsid w:val="716D33C3"/>
    <w:rsid w:val="72695938"/>
    <w:rsid w:val="72E04D6F"/>
    <w:rsid w:val="73A3131E"/>
    <w:rsid w:val="753241D2"/>
    <w:rsid w:val="75C92E26"/>
    <w:rsid w:val="75FC6AC3"/>
    <w:rsid w:val="77AB2C6D"/>
    <w:rsid w:val="78662EC6"/>
    <w:rsid w:val="7A545120"/>
    <w:rsid w:val="7A576DC1"/>
    <w:rsid w:val="7AD87AFF"/>
    <w:rsid w:val="7ADB139D"/>
    <w:rsid w:val="7F3B7E82"/>
    <w:rsid w:val="7F4D2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qFormat="1"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9"/>
    <w:pPr>
      <w:keepNext/>
      <w:keepLines/>
      <w:numPr>
        <w:ilvl w:val="0"/>
        <w:numId w:val="1"/>
      </w:numPr>
      <w:spacing w:before="120" w:beforeAutospacing="0" w:afterAutospacing="0" w:line="360" w:lineRule="auto"/>
      <w:outlineLvl w:val="0"/>
    </w:pPr>
    <w:rPr>
      <w:b/>
      <w:bCs/>
      <w:kern w:val="44"/>
      <w:sz w:val="28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spacing w:before="120" w:beforeAutospacing="0" w:afterAutospacing="0" w:line="360" w:lineRule="auto"/>
      <w:outlineLvl w:val="1"/>
    </w:pPr>
    <w:rPr>
      <w:rFonts w:ascii="Arial" w:hAnsi="Arial"/>
      <w:bCs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numPr>
        <w:ilvl w:val="2"/>
        <w:numId w:val="1"/>
      </w:numPr>
      <w:spacing w:before="120" w:beforeAutospacing="0" w:afterAutospacing="0" w:line="360" w:lineRule="auto"/>
      <w:outlineLvl w:val="2"/>
    </w:pPr>
    <w:rPr>
      <w:bCs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numPr>
        <w:ilvl w:val="3"/>
        <w:numId w:val="1"/>
      </w:numPr>
      <w:spacing w:before="120" w:beforeAutospacing="0" w:afterAutospacing="0" w:line="360" w:lineRule="auto"/>
      <w:outlineLvl w:val="3"/>
    </w:pPr>
    <w:rPr>
      <w:rFonts w:ascii="Arial" w:hAnsi="Arial"/>
      <w:bCs/>
      <w:szCs w:val="28"/>
    </w:rPr>
  </w:style>
  <w:style w:type="paragraph" w:styleId="6">
    <w:name w:val="heading 5"/>
    <w:basedOn w:val="1"/>
    <w:next w:val="1"/>
    <w:qFormat/>
    <w:uiPriority w:val="0"/>
    <w:pPr>
      <w:keepNext/>
      <w:keepLines/>
      <w:numPr>
        <w:ilvl w:val="4"/>
        <w:numId w:val="1"/>
      </w:numPr>
      <w:spacing w:before="120" w:beforeAutospacing="0" w:afterAutospacing="0" w:line="360" w:lineRule="auto"/>
      <w:outlineLvl w:val="4"/>
    </w:pPr>
    <w:rPr>
      <w:bCs/>
      <w:szCs w:val="28"/>
    </w:rPr>
  </w:style>
  <w:style w:type="paragraph" w:styleId="7">
    <w:name w:val="heading 6"/>
    <w:basedOn w:val="1"/>
    <w:next w:val="1"/>
    <w:qFormat/>
    <w:uiPriority w:val="0"/>
    <w:pPr>
      <w:keepNext/>
      <w:keepLines/>
      <w:numPr>
        <w:ilvl w:val="5"/>
        <w:numId w:val="1"/>
      </w:numPr>
      <w:spacing w:before="120" w:beforeAutospacing="0" w:afterAutospacing="0" w:line="360" w:lineRule="auto"/>
      <w:outlineLvl w:val="5"/>
    </w:pPr>
    <w:rPr>
      <w:rFonts w:ascii="Arial" w:hAnsi="Arial"/>
      <w:bCs/>
      <w:szCs w:val="24"/>
    </w:rPr>
  </w:style>
  <w:style w:type="paragraph" w:styleId="8">
    <w:name w:val="heading 7"/>
    <w:basedOn w:val="1"/>
    <w:next w:val="1"/>
    <w:qFormat/>
    <w:uiPriority w:val="0"/>
    <w:pPr>
      <w:keepNext/>
      <w:keepLines/>
      <w:numPr>
        <w:ilvl w:val="6"/>
        <w:numId w:val="1"/>
      </w:numPr>
      <w:spacing w:before="120" w:beforeAutospacing="0" w:afterAutospacing="0" w:line="360" w:lineRule="auto"/>
      <w:outlineLvl w:val="6"/>
    </w:pPr>
    <w:rPr>
      <w:bCs/>
      <w:szCs w:val="24"/>
    </w:rPr>
  </w:style>
  <w:style w:type="paragraph" w:styleId="9">
    <w:name w:val="heading 8"/>
    <w:basedOn w:val="1"/>
    <w:next w:val="1"/>
    <w:qFormat/>
    <w:uiPriority w:val="0"/>
    <w:pPr>
      <w:keepNext/>
      <w:keepLines/>
      <w:numPr>
        <w:ilvl w:val="7"/>
        <w:numId w:val="1"/>
      </w:numPr>
      <w:spacing w:before="120" w:beforeAutospacing="0" w:afterAutospacing="0" w:line="360" w:lineRule="auto"/>
      <w:outlineLvl w:val="7"/>
    </w:pPr>
    <w:rPr>
      <w:rFonts w:ascii="Arial" w:hAnsi="Arial"/>
      <w:szCs w:val="24"/>
    </w:rPr>
  </w:style>
  <w:style w:type="paragraph" w:styleId="10">
    <w:name w:val="heading 9"/>
    <w:basedOn w:val="1"/>
    <w:next w:val="1"/>
    <w:qFormat/>
    <w:uiPriority w:val="0"/>
    <w:pPr>
      <w:keepNext/>
      <w:keepLines/>
      <w:numPr>
        <w:ilvl w:val="8"/>
        <w:numId w:val="1"/>
      </w:numPr>
      <w:spacing w:before="120" w:beforeAutospacing="0" w:afterAutospacing="0" w:line="360" w:lineRule="auto"/>
      <w:outlineLvl w:val="8"/>
    </w:pPr>
    <w:rPr>
      <w:rFonts w:ascii="Arial" w:hAnsi="Arial"/>
      <w:szCs w:val="21"/>
    </w:rPr>
  </w:style>
  <w:style w:type="character" w:default="1" w:styleId="19">
    <w:name w:val="Default Paragraph Font"/>
    <w:qFormat/>
    <w:uiPriority w:val="1"/>
  </w:style>
  <w:style w:type="table" w:default="1" w:styleId="17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Normal Indent"/>
    <w:basedOn w:val="1"/>
    <w:qFormat/>
    <w:uiPriority w:val="0"/>
    <w:pPr>
      <w:ind w:firstLine="200" w:firstLineChars="200"/>
    </w:pPr>
  </w:style>
  <w:style w:type="paragraph" w:styleId="12">
    <w:name w:val="List Bullet"/>
    <w:basedOn w:val="1"/>
    <w:qFormat/>
    <w:uiPriority w:val="0"/>
    <w:pPr>
      <w:numPr>
        <w:ilvl w:val="0"/>
        <w:numId w:val="2"/>
      </w:numPr>
      <w:tabs>
        <w:tab w:val="clear" w:pos="360"/>
      </w:tabs>
      <w:ind w:left="420" w:hanging="420"/>
    </w:pPr>
  </w:style>
  <w:style w:type="paragraph" w:styleId="1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6">
    <w:name w:val="Title"/>
    <w:basedOn w:val="1"/>
    <w:qFormat/>
    <w:uiPriority w:val="0"/>
    <w:pPr>
      <w:spacing w:before="120" w:beforeAutospacing="0" w:afterAutospacing="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8">
    <w:name w:val="Table Grid"/>
    <w:basedOn w:val="1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0">
    <w:name w:val="标题 1 字符"/>
    <w:link w:val="2"/>
    <w:qFormat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../NUL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Company>JointSky</Company>
  <Pages>1</Pages>
  <Words>187</Words>
  <Characters>201</Characters>
  <Paragraphs>54</Paragraphs>
  <TotalTime>1</TotalTime>
  <ScaleCrop>false</ScaleCrop>
  <LinksUpToDate>false</LinksUpToDate>
  <CharactersWithSpaces>245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2022-10-22T00:29:00Z</dcterms:created>
  <dc:creator>Joy</dc:creator>
  <cp:lastModifiedBy>Joy</cp:lastModifiedBy>
  <dcterms:modified xsi:type="dcterms:W3CDTF">2025-05-23T09:24:25Z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02212E4CAA614D2FBF6774699D008770</vt:lpwstr>
  </property>
  <property fmtid="{D5CDD505-2E9C-101B-9397-08002B2CF9AE}" pid="4" name="KSOTemplateDocerSaveRecord">
    <vt:lpwstr>eyJoZGlkIjoiMWQxYTdiYTk1OGJjMDEwNWJiOWQ1MzgzMzE3YjEzOGQiLCJ1c2VySWQiOiIyMzYxNTk1NjkifQ==</vt:lpwstr>
  </property>
</Properties>
</file>