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29FC6">
      <w:pPr>
        <w:spacing w:beforeLines="50" w:afterLines="100"/>
        <w:jc w:val="center"/>
        <w:rPr>
          <w:rFonts w:ascii="黑体" w:hAnsi="黑体" w:eastAsia="黑体"/>
          <w:b/>
          <w:sz w:val="36"/>
          <w:szCs w:val="36"/>
        </w:rPr>
      </w:pPr>
      <w:r>
        <w:rPr>
          <w:rFonts w:hint="eastAsia" w:ascii="黑体" w:hAnsi="黑体" w:eastAsia="黑体"/>
          <w:b/>
          <w:sz w:val="36"/>
          <w:szCs w:val="36"/>
        </w:rPr>
        <w:t>会议纪要</w:t>
      </w:r>
    </w:p>
    <w:tbl>
      <w:tblPr>
        <w:tblStyle w:val="5"/>
        <w:tblW w:w="911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7446"/>
      </w:tblGrid>
      <w:tr w14:paraId="3CA914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68" w:type="dxa"/>
            <w:vAlign w:val="center"/>
          </w:tcPr>
          <w:p w14:paraId="4565FD16">
            <w:pPr>
              <w:spacing w:line="276" w:lineRule="auto"/>
              <w:jc w:val="center"/>
              <w:rPr>
                <w:rFonts w:asciiTheme="minorEastAsia" w:hAnsiTheme="minorEastAsia"/>
                <w:b/>
                <w:sz w:val="28"/>
                <w:szCs w:val="28"/>
              </w:rPr>
            </w:pPr>
            <w:r>
              <w:rPr>
                <w:rFonts w:hint="eastAsia" w:asciiTheme="minorEastAsia" w:hAnsiTheme="minorEastAsia"/>
                <w:b/>
                <w:sz w:val="28"/>
                <w:szCs w:val="28"/>
              </w:rPr>
              <w:t>会议主题</w:t>
            </w:r>
          </w:p>
        </w:tc>
        <w:tc>
          <w:tcPr>
            <w:tcW w:w="7446" w:type="dxa"/>
          </w:tcPr>
          <w:p w14:paraId="0D95A7AC">
            <w:pPr>
              <w:spacing w:line="276" w:lineRule="auto"/>
              <w:rPr>
                <w:rFonts w:asciiTheme="minorEastAsia" w:hAnsiTheme="minorEastAsia"/>
                <w:sz w:val="28"/>
                <w:szCs w:val="28"/>
              </w:rPr>
            </w:pPr>
            <w:r>
              <w:rPr>
                <w:rFonts w:hint="eastAsia" w:asciiTheme="minorEastAsia" w:hAnsiTheme="minorEastAsia"/>
                <w:sz w:val="28"/>
                <w:szCs w:val="28"/>
              </w:rPr>
              <w:t>晋陕豫月度会议</w:t>
            </w:r>
          </w:p>
        </w:tc>
      </w:tr>
      <w:tr w14:paraId="681A7B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Align w:val="center"/>
          </w:tcPr>
          <w:p w14:paraId="3BC93724">
            <w:pPr>
              <w:spacing w:line="276" w:lineRule="auto"/>
              <w:jc w:val="center"/>
              <w:rPr>
                <w:rFonts w:asciiTheme="minorEastAsia" w:hAnsiTheme="minorEastAsia"/>
                <w:sz w:val="28"/>
                <w:szCs w:val="28"/>
              </w:rPr>
            </w:pPr>
            <w:r>
              <w:rPr>
                <w:rFonts w:hint="eastAsia" w:asciiTheme="minorEastAsia" w:hAnsiTheme="minorEastAsia"/>
                <w:b/>
                <w:color w:val="333333"/>
                <w:sz w:val="28"/>
                <w:szCs w:val="28"/>
              </w:rPr>
              <w:t>会议时间</w:t>
            </w:r>
          </w:p>
        </w:tc>
        <w:tc>
          <w:tcPr>
            <w:tcW w:w="7446" w:type="dxa"/>
          </w:tcPr>
          <w:p w14:paraId="53049533">
            <w:pPr>
              <w:spacing w:line="276" w:lineRule="auto"/>
              <w:rPr>
                <w:rFonts w:asciiTheme="minorEastAsia" w:hAnsiTheme="minorEastAsia"/>
                <w:sz w:val="28"/>
                <w:szCs w:val="28"/>
              </w:rPr>
            </w:pPr>
            <w:r>
              <w:rPr>
                <w:rFonts w:hint="eastAsia" w:asciiTheme="minorEastAsia" w:hAnsiTheme="minorEastAsia"/>
                <w:color w:val="333333"/>
                <w:sz w:val="28"/>
                <w:szCs w:val="28"/>
              </w:rPr>
              <w:t>202</w:t>
            </w:r>
            <w:r>
              <w:rPr>
                <w:rFonts w:hint="eastAsia" w:asciiTheme="minorEastAsia" w:hAnsiTheme="minorEastAsia"/>
                <w:color w:val="333333"/>
                <w:sz w:val="28"/>
                <w:szCs w:val="28"/>
                <w:lang w:val="en-US" w:eastAsia="zh-CN"/>
              </w:rPr>
              <w:t>4</w:t>
            </w:r>
            <w:r>
              <w:rPr>
                <w:rFonts w:hint="eastAsia" w:asciiTheme="minorEastAsia" w:hAnsiTheme="minorEastAsia"/>
                <w:color w:val="333333"/>
                <w:sz w:val="28"/>
                <w:szCs w:val="28"/>
              </w:rPr>
              <w:t>年</w:t>
            </w:r>
            <w:r>
              <w:rPr>
                <w:rFonts w:hint="eastAsia" w:asciiTheme="minorEastAsia" w:hAnsiTheme="minorEastAsia"/>
                <w:color w:val="333333"/>
                <w:sz w:val="28"/>
                <w:szCs w:val="28"/>
                <w:lang w:val="en-US" w:eastAsia="zh-CN"/>
              </w:rPr>
              <w:t>7</w:t>
            </w:r>
            <w:r>
              <w:rPr>
                <w:rFonts w:hint="eastAsia" w:asciiTheme="minorEastAsia" w:hAnsiTheme="minorEastAsia"/>
                <w:color w:val="333333"/>
                <w:sz w:val="28"/>
                <w:szCs w:val="28"/>
              </w:rPr>
              <w:t>月</w:t>
            </w:r>
            <w:r>
              <w:rPr>
                <w:rFonts w:hint="eastAsia" w:asciiTheme="minorEastAsia" w:hAnsiTheme="minorEastAsia"/>
                <w:color w:val="333333"/>
                <w:sz w:val="28"/>
                <w:szCs w:val="28"/>
                <w:lang w:val="en-US" w:eastAsia="zh-CN"/>
              </w:rPr>
              <w:t>17</w:t>
            </w:r>
            <w:r>
              <w:rPr>
                <w:rFonts w:hint="eastAsia" w:asciiTheme="minorEastAsia" w:hAnsiTheme="minorEastAsia"/>
                <w:color w:val="333333"/>
                <w:sz w:val="28"/>
                <w:szCs w:val="28"/>
              </w:rPr>
              <w:t>日1</w:t>
            </w:r>
            <w:r>
              <w:rPr>
                <w:rFonts w:hint="eastAsia" w:asciiTheme="minorEastAsia" w:hAnsiTheme="minorEastAsia"/>
                <w:color w:val="333333"/>
                <w:sz w:val="28"/>
                <w:szCs w:val="28"/>
                <w:lang w:val="en-US" w:eastAsia="zh-CN"/>
              </w:rPr>
              <w:t>8</w:t>
            </w:r>
            <w:r>
              <w:rPr>
                <w:rFonts w:hint="eastAsia" w:asciiTheme="minorEastAsia" w:hAnsiTheme="minorEastAsia"/>
                <w:color w:val="333333"/>
                <w:sz w:val="28"/>
                <w:szCs w:val="28"/>
              </w:rPr>
              <w:t>点</w:t>
            </w:r>
          </w:p>
        </w:tc>
      </w:tr>
      <w:tr w14:paraId="348918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Align w:val="center"/>
          </w:tcPr>
          <w:p w14:paraId="1F7AE836">
            <w:pPr>
              <w:spacing w:line="276" w:lineRule="auto"/>
              <w:jc w:val="center"/>
              <w:rPr>
                <w:rFonts w:asciiTheme="minorEastAsia" w:hAnsiTheme="minorEastAsia"/>
                <w:sz w:val="28"/>
                <w:szCs w:val="28"/>
              </w:rPr>
            </w:pPr>
            <w:r>
              <w:rPr>
                <w:rFonts w:hint="eastAsia" w:asciiTheme="minorEastAsia" w:hAnsiTheme="minorEastAsia"/>
                <w:b/>
                <w:color w:val="333333"/>
                <w:sz w:val="28"/>
                <w:szCs w:val="28"/>
              </w:rPr>
              <w:t>会议方式</w:t>
            </w:r>
          </w:p>
        </w:tc>
        <w:tc>
          <w:tcPr>
            <w:tcW w:w="7446" w:type="dxa"/>
          </w:tcPr>
          <w:p w14:paraId="08421F33">
            <w:pPr>
              <w:spacing w:line="276"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企业微信会议</w:t>
            </w:r>
          </w:p>
        </w:tc>
      </w:tr>
      <w:tr w14:paraId="4EC775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Align w:val="center"/>
          </w:tcPr>
          <w:p w14:paraId="6B453EA0">
            <w:pPr>
              <w:spacing w:line="276" w:lineRule="auto"/>
              <w:jc w:val="center"/>
              <w:rPr>
                <w:rFonts w:asciiTheme="minorEastAsia" w:hAnsiTheme="minorEastAsia"/>
                <w:sz w:val="28"/>
                <w:szCs w:val="28"/>
              </w:rPr>
            </w:pPr>
            <w:r>
              <w:rPr>
                <w:rFonts w:hint="eastAsia" w:asciiTheme="minorEastAsia" w:hAnsiTheme="minorEastAsia"/>
                <w:b/>
                <w:color w:val="333333"/>
                <w:sz w:val="28"/>
                <w:szCs w:val="28"/>
              </w:rPr>
              <w:t>主持人</w:t>
            </w:r>
          </w:p>
        </w:tc>
        <w:tc>
          <w:tcPr>
            <w:tcW w:w="7446" w:type="dxa"/>
          </w:tcPr>
          <w:p w14:paraId="3BA19BB6">
            <w:pPr>
              <w:spacing w:line="276" w:lineRule="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徐欣</w:t>
            </w:r>
          </w:p>
        </w:tc>
      </w:tr>
      <w:tr w14:paraId="2BD255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Align w:val="center"/>
          </w:tcPr>
          <w:p w14:paraId="351908F5">
            <w:pPr>
              <w:spacing w:line="276" w:lineRule="auto"/>
              <w:jc w:val="center"/>
              <w:rPr>
                <w:rFonts w:asciiTheme="minorEastAsia" w:hAnsiTheme="minorEastAsia"/>
                <w:b/>
                <w:sz w:val="28"/>
                <w:szCs w:val="28"/>
              </w:rPr>
            </w:pPr>
            <w:r>
              <w:rPr>
                <w:rFonts w:hint="eastAsia" w:asciiTheme="minorEastAsia" w:hAnsiTheme="minorEastAsia"/>
                <w:b/>
                <w:sz w:val="28"/>
                <w:szCs w:val="28"/>
              </w:rPr>
              <w:t>与会人员</w:t>
            </w:r>
          </w:p>
        </w:tc>
        <w:tc>
          <w:tcPr>
            <w:tcW w:w="7446" w:type="dxa"/>
          </w:tcPr>
          <w:p w14:paraId="2032642F">
            <w:pPr>
              <w:spacing w:line="276" w:lineRule="auto"/>
              <w:rPr>
                <w:rFonts w:hint="default" w:asciiTheme="minorEastAsia" w:hAnsiTheme="minorEastAsia" w:eastAsiaTheme="minorEastAsia"/>
                <w:b/>
                <w:color w:val="auto"/>
                <w:sz w:val="24"/>
                <w:szCs w:val="24"/>
                <w:lang w:val="en-US" w:eastAsia="zh-CN"/>
              </w:rPr>
            </w:pPr>
            <w:r>
              <w:rPr>
                <w:rFonts w:hint="eastAsia" w:asciiTheme="minorEastAsia" w:hAnsiTheme="minorEastAsia"/>
                <w:b/>
                <w:color w:val="auto"/>
                <w:sz w:val="24"/>
                <w:szCs w:val="24"/>
                <w:lang w:val="en-US" w:eastAsia="zh-CN"/>
              </w:rPr>
              <w:t>大区经理：</w:t>
            </w:r>
            <w:r>
              <w:rPr>
                <w:rFonts w:hint="eastAsia"/>
                <w:color w:val="auto"/>
                <w:sz w:val="24"/>
                <w:szCs w:val="24"/>
                <w:lang w:val="en-US" w:eastAsia="zh-CN"/>
              </w:rPr>
              <w:t>段尧</w:t>
            </w:r>
          </w:p>
          <w:p w14:paraId="5D76F8C4">
            <w:pPr>
              <w:numPr>
                <w:ilvl w:val="0"/>
                <w:numId w:val="1"/>
              </w:numPr>
              <w:spacing w:line="276" w:lineRule="auto"/>
              <w:rPr>
                <w:rFonts w:hint="default" w:asciiTheme="minorEastAsia" w:hAnsiTheme="minorEastAsia"/>
                <w:b w:val="0"/>
                <w:bCs w:val="0"/>
                <w:sz w:val="24"/>
                <w:szCs w:val="24"/>
                <w:lang w:val="en-US" w:eastAsia="zh-CN"/>
              </w:rPr>
            </w:pPr>
            <w:r>
              <w:rPr>
                <w:rFonts w:hint="eastAsia" w:asciiTheme="minorEastAsia" w:hAnsiTheme="minorEastAsia"/>
                <w:b/>
                <w:color w:val="auto"/>
                <w:sz w:val="24"/>
                <w:szCs w:val="24"/>
              </w:rPr>
              <w:t>山西站：</w:t>
            </w:r>
            <w:r>
              <w:rPr>
                <w:rFonts w:hint="eastAsia" w:asciiTheme="minorEastAsia" w:hAnsiTheme="minorEastAsia"/>
                <w:b w:val="0"/>
                <w:bCs w:val="0"/>
                <w:sz w:val="24"/>
                <w:szCs w:val="24"/>
                <w:lang w:val="en-US" w:eastAsia="zh-CN"/>
              </w:rPr>
              <w:t>居晋芳、杨浩、姚键、郑文燕、高星、刘小红、孔家乐、刘裕林、兀军辉、邹新宇</w:t>
            </w:r>
          </w:p>
          <w:p w14:paraId="1CC299E5">
            <w:pPr>
              <w:numPr>
                <w:ilvl w:val="0"/>
                <w:numId w:val="1"/>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河南站：宋雪迎、彭亚萍、陈东升</w:t>
            </w:r>
          </w:p>
          <w:p w14:paraId="4DCCB34F">
            <w:pPr>
              <w:numPr>
                <w:ilvl w:val="0"/>
                <w:numId w:val="1"/>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陕西站：徐欣、高倩文、高晨清、刘卓、李悦、秦鹏飞、党泽阳、杨小莉</w:t>
            </w:r>
          </w:p>
          <w:p w14:paraId="73BD06BD">
            <w:pPr>
              <w:spacing w:line="276" w:lineRule="auto"/>
              <w:rPr>
                <w:rFonts w:hint="default"/>
                <w:b/>
                <w:bCs/>
                <w:color w:val="auto"/>
                <w:sz w:val="24"/>
                <w:szCs w:val="24"/>
                <w:lang w:val="en-US" w:eastAsia="zh-CN"/>
              </w:rPr>
            </w:pPr>
            <w:r>
              <w:rPr>
                <w:rFonts w:hint="eastAsia"/>
                <w:b/>
                <w:bCs/>
                <w:color w:val="auto"/>
                <w:sz w:val="24"/>
                <w:szCs w:val="24"/>
                <w:lang w:val="en-US" w:eastAsia="zh-CN"/>
              </w:rPr>
              <w:t>请假人员：无</w:t>
            </w:r>
          </w:p>
          <w:p w14:paraId="403F9CEF">
            <w:pPr>
              <w:spacing w:line="276" w:lineRule="auto"/>
              <w:rPr>
                <w:rFonts w:hint="default"/>
                <w:b/>
                <w:bCs/>
                <w:color w:val="auto"/>
                <w:sz w:val="24"/>
                <w:szCs w:val="24"/>
                <w:lang w:val="en-US" w:eastAsia="zh-CN"/>
              </w:rPr>
            </w:pPr>
            <w:r>
              <w:rPr>
                <w:rFonts w:hint="eastAsia"/>
                <w:b/>
                <w:bCs/>
                <w:color w:val="auto"/>
                <w:sz w:val="24"/>
                <w:szCs w:val="24"/>
                <w:lang w:val="en-US" w:eastAsia="zh-CN"/>
              </w:rPr>
              <w:t>未参会人员：</w:t>
            </w:r>
            <w:r>
              <w:rPr>
                <w:color w:val="auto"/>
                <w:sz w:val="24"/>
                <w:szCs w:val="24"/>
              </w:rPr>
              <w:t>卢佩磊</w:t>
            </w:r>
            <w:r>
              <w:rPr>
                <w:rFonts w:hint="eastAsia"/>
                <w:b/>
                <w:bCs/>
                <w:color w:val="auto"/>
                <w:sz w:val="24"/>
                <w:szCs w:val="24"/>
                <w:lang w:val="en-US" w:eastAsia="zh-CN"/>
              </w:rPr>
              <w:t>、</w:t>
            </w:r>
            <w:r>
              <w:rPr>
                <w:rFonts w:hint="eastAsia"/>
                <w:color w:val="auto"/>
                <w:sz w:val="24"/>
                <w:szCs w:val="24"/>
                <w:lang w:val="en-US" w:eastAsia="zh-CN"/>
              </w:rPr>
              <w:t>李韦江</w:t>
            </w:r>
          </w:p>
        </w:tc>
      </w:tr>
      <w:tr w14:paraId="197B11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Align w:val="center"/>
          </w:tcPr>
          <w:p w14:paraId="3614E153">
            <w:pPr>
              <w:spacing w:line="276" w:lineRule="auto"/>
              <w:jc w:val="center"/>
              <w:rPr>
                <w:rFonts w:asciiTheme="minorEastAsia" w:hAnsiTheme="minorEastAsia"/>
                <w:b/>
                <w:sz w:val="28"/>
                <w:szCs w:val="28"/>
              </w:rPr>
            </w:pPr>
            <w:r>
              <w:rPr>
                <w:rFonts w:hint="eastAsia" w:asciiTheme="minorEastAsia" w:hAnsiTheme="minorEastAsia"/>
                <w:b/>
                <w:sz w:val="28"/>
                <w:szCs w:val="28"/>
              </w:rPr>
              <w:t>会议记录</w:t>
            </w:r>
          </w:p>
        </w:tc>
        <w:tc>
          <w:tcPr>
            <w:tcW w:w="7446" w:type="dxa"/>
          </w:tcPr>
          <w:p w14:paraId="13443F6B">
            <w:pPr>
              <w:spacing w:line="276"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李悦</w:t>
            </w:r>
          </w:p>
        </w:tc>
      </w:tr>
      <w:tr w14:paraId="01143B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restart"/>
            <w:textDirection w:val="tbRlV"/>
            <w:vAlign w:val="center"/>
          </w:tcPr>
          <w:p w14:paraId="7E19B164">
            <w:pPr>
              <w:spacing w:line="276" w:lineRule="auto"/>
              <w:jc w:val="center"/>
              <w:rPr>
                <w:rFonts w:asciiTheme="minorEastAsia" w:hAnsiTheme="minorEastAsia"/>
                <w:sz w:val="28"/>
                <w:szCs w:val="28"/>
              </w:rPr>
            </w:pPr>
            <w:r>
              <w:rPr>
                <w:rFonts w:hint="eastAsia" w:asciiTheme="minorEastAsia" w:hAnsiTheme="minorEastAsia"/>
                <w:sz w:val="28"/>
                <w:szCs w:val="28"/>
              </w:rPr>
              <w:t>会 议 主 要 内 容</w:t>
            </w:r>
          </w:p>
        </w:tc>
        <w:tc>
          <w:tcPr>
            <w:tcW w:w="7446" w:type="dxa"/>
          </w:tcPr>
          <w:p w14:paraId="787BFBC5">
            <w:pPr>
              <w:spacing w:line="276" w:lineRule="auto"/>
              <w:rPr>
                <w:rFonts w:hint="default" w:asciiTheme="minorEastAsia" w:hAnsiTheme="minorEastAsia" w:eastAsiaTheme="minorEastAsia"/>
                <w:b/>
                <w:sz w:val="24"/>
                <w:szCs w:val="24"/>
                <w:lang w:val="en-US" w:eastAsia="zh-CN"/>
              </w:rPr>
            </w:pPr>
            <w:r>
              <w:rPr>
                <w:rFonts w:hint="eastAsia" w:asciiTheme="minorEastAsia" w:hAnsiTheme="minorEastAsia"/>
                <w:b/>
                <w:sz w:val="24"/>
                <w:szCs w:val="24"/>
              </w:rPr>
              <w:t>一、</w:t>
            </w:r>
            <w:r>
              <w:rPr>
                <w:rFonts w:hint="eastAsia" w:asciiTheme="minorEastAsia" w:hAnsiTheme="minorEastAsia"/>
                <w:b/>
                <w:sz w:val="24"/>
                <w:szCs w:val="24"/>
                <w:lang w:val="en-US" w:eastAsia="zh-CN"/>
              </w:rPr>
              <w:t>工作计划</w:t>
            </w:r>
          </w:p>
        </w:tc>
      </w:tr>
      <w:tr w14:paraId="1F406A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98" w:hRule="atLeast"/>
        </w:trPr>
        <w:tc>
          <w:tcPr>
            <w:tcW w:w="1668" w:type="dxa"/>
            <w:vMerge w:val="continue"/>
          </w:tcPr>
          <w:p w14:paraId="56F468F5">
            <w:pPr>
              <w:spacing w:line="276" w:lineRule="auto"/>
              <w:rPr>
                <w:rFonts w:asciiTheme="minorEastAsia" w:hAnsiTheme="minorEastAsia"/>
                <w:szCs w:val="21"/>
              </w:rPr>
            </w:pPr>
          </w:p>
        </w:tc>
        <w:tc>
          <w:tcPr>
            <w:tcW w:w="7446" w:type="dxa"/>
          </w:tcPr>
          <w:p w14:paraId="085B6D0B">
            <w:pPr>
              <w:numPr>
                <w:ilvl w:val="0"/>
                <w:numId w:val="0"/>
              </w:numPr>
              <w:spacing w:line="276" w:lineRule="auto"/>
              <w:rPr>
                <w:rFonts w:hint="default" w:asciiTheme="minorEastAsia" w:hAnsiTheme="minorEastAsia"/>
                <w:b/>
                <w:bCs/>
                <w:sz w:val="24"/>
                <w:szCs w:val="24"/>
                <w:lang w:val="en-US" w:eastAsia="zh-CN"/>
              </w:rPr>
            </w:pPr>
            <w:r>
              <w:rPr>
                <w:rFonts w:hint="eastAsia" w:asciiTheme="minorEastAsia" w:hAnsiTheme="minorEastAsia"/>
                <w:b/>
                <w:bCs/>
                <w:sz w:val="24"/>
                <w:szCs w:val="24"/>
                <w:lang w:val="en-US" w:eastAsia="zh-CN"/>
              </w:rPr>
              <w:t>结合部门7月17日例会强调以下内容：</w:t>
            </w:r>
          </w:p>
          <w:p w14:paraId="4D833F28">
            <w:pPr>
              <w:numPr>
                <w:ilvl w:val="0"/>
                <w:numId w:val="2"/>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紧急升级发出后务必按公司的要求及时按量处理。这次涉及排污许可证以及自动管理条例方面会影响公司整体下一步工作进度，所以紧急且必要。未按时按量升级的地方请加快升级。（杨浩）</w:t>
            </w:r>
          </w:p>
          <w:p w14:paraId="07DF4410">
            <w:pPr>
              <w:numPr>
                <w:ilvl w:val="0"/>
                <w:numId w:val="2"/>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升级的时候做好软件备份、数据自动备份脚本涉及5个数据库需要手动修改保留每3天备份。每星期要备份mongodb数据库。（杨浩）</w:t>
            </w:r>
          </w:p>
          <w:p w14:paraId="49312B99">
            <w:pPr>
              <w:numPr>
                <w:ilvl w:val="0"/>
                <w:numId w:val="2"/>
              </w:numPr>
              <w:spacing w:line="276" w:lineRule="auto"/>
              <w:ind w:left="0" w:leftChars="0" w:firstLine="0" w:firstLineChars="0"/>
              <w:rPr>
                <w:rFonts w:hint="default"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部里文件服务器同步工具已部署完成，各省市件服务器同步工具可以正常工作的情况下确保与部里同步正常。（杨浩）</w:t>
            </w:r>
          </w:p>
          <w:p w14:paraId="10978745">
            <w:pPr>
              <w:numPr>
                <w:ilvl w:val="0"/>
                <w:numId w:val="2"/>
              </w:numPr>
              <w:spacing w:line="276" w:lineRule="auto"/>
              <w:ind w:left="0" w:leftChars="0" w:firstLine="0" w:firstLineChars="0"/>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自动升级部署。各地在具备相关网络和硬件的基础上可以进行下一步。（杨浩）</w:t>
            </w:r>
          </w:p>
          <w:p w14:paraId="2593A25D">
            <w:pPr>
              <w:widowControl w:val="0"/>
              <w:numPr>
                <w:ilvl w:val="0"/>
                <w:numId w:val="2"/>
              </w:numPr>
              <w:spacing w:line="276" w:lineRule="auto"/>
              <w:ind w:left="0" w:leftChars="0" w:firstLine="0" w:firstLineChars="0"/>
              <w:jc w:val="both"/>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升级工作要按要求尽快如期升级，升级完成后尽快将进度在共享文档中进行更新。避免需要工作交接的时候不知道升级工作进行到哪一步。（段尧）</w:t>
            </w:r>
            <w:bookmarkStart w:id="0" w:name="_GoBack"/>
            <w:bookmarkEnd w:id="0"/>
          </w:p>
          <w:p w14:paraId="54D449A5">
            <w:pPr>
              <w:widowControl w:val="0"/>
              <w:numPr>
                <w:ilvl w:val="0"/>
                <w:numId w:val="2"/>
              </w:numPr>
              <w:spacing w:line="276" w:lineRule="auto"/>
              <w:ind w:left="0" w:leftChars="0" w:firstLine="0" w:firstLineChars="0"/>
              <w:jc w:val="both"/>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月度会议：以市场为主，分为合同和回款，合同付款状况较差。回款方面：应收账款300多万，如果确定企业款项会延期必要时候可先暂停服务。合同方面：如果合同到期续约不上也没有预算的话，合同丢失面临网点会被撤掉。（段尧）</w:t>
            </w:r>
          </w:p>
          <w:p w14:paraId="15392F03">
            <w:pPr>
              <w:widowControl w:val="0"/>
              <w:numPr>
                <w:ilvl w:val="0"/>
                <w:numId w:val="2"/>
              </w:numPr>
              <w:spacing w:line="276" w:lineRule="auto"/>
              <w:ind w:left="0" w:leftChars="0" w:firstLine="0" w:firstLineChars="0"/>
              <w:jc w:val="both"/>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最近一段时间会面临人员调整。（段尧）</w:t>
            </w:r>
          </w:p>
          <w:p w14:paraId="1D904D20">
            <w:pPr>
              <w:widowControl w:val="0"/>
              <w:numPr>
                <w:ilvl w:val="0"/>
                <w:numId w:val="2"/>
              </w:numPr>
              <w:spacing w:line="276" w:lineRule="auto"/>
              <w:ind w:left="0" w:leftChars="0" w:firstLine="0" w:firstLineChars="0"/>
              <w:jc w:val="both"/>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易系列产品推广加快进度。（徐欣）</w:t>
            </w:r>
          </w:p>
          <w:p w14:paraId="403A751D">
            <w:pPr>
              <w:widowControl w:val="0"/>
              <w:numPr>
                <w:ilvl w:val="0"/>
                <w:numId w:val="2"/>
              </w:numPr>
              <w:spacing w:line="276" w:lineRule="auto"/>
              <w:ind w:left="0" w:leftChars="0" w:firstLine="0" w:firstLineChars="0"/>
              <w:jc w:val="both"/>
              <w:rPr>
                <w:rFonts w:hint="default"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积极推广2G的增值服务。（徐欣）</w:t>
            </w:r>
          </w:p>
        </w:tc>
      </w:tr>
      <w:tr w14:paraId="6F0673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continue"/>
          </w:tcPr>
          <w:p w14:paraId="6704B11B">
            <w:pPr>
              <w:spacing w:line="276" w:lineRule="auto"/>
              <w:rPr>
                <w:rFonts w:asciiTheme="minorEastAsia" w:hAnsiTheme="minorEastAsia"/>
                <w:sz w:val="28"/>
                <w:szCs w:val="28"/>
              </w:rPr>
            </w:pPr>
          </w:p>
        </w:tc>
        <w:tc>
          <w:tcPr>
            <w:tcW w:w="7446" w:type="dxa"/>
          </w:tcPr>
          <w:p w14:paraId="52EF96DB">
            <w:pPr>
              <w:spacing w:line="276" w:lineRule="auto"/>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二、其他</w:t>
            </w:r>
          </w:p>
        </w:tc>
      </w:tr>
      <w:tr w14:paraId="464FA7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trPr>
        <w:tc>
          <w:tcPr>
            <w:tcW w:w="1668" w:type="dxa"/>
            <w:vMerge w:val="continue"/>
          </w:tcPr>
          <w:p w14:paraId="091A42FB">
            <w:pPr>
              <w:spacing w:line="276" w:lineRule="auto"/>
              <w:rPr>
                <w:rFonts w:asciiTheme="minorEastAsia" w:hAnsiTheme="minorEastAsia"/>
                <w:sz w:val="28"/>
                <w:szCs w:val="28"/>
              </w:rPr>
            </w:pPr>
          </w:p>
        </w:tc>
        <w:tc>
          <w:tcPr>
            <w:tcW w:w="7446" w:type="dxa"/>
          </w:tcPr>
          <w:p w14:paraId="6D2CDC5F">
            <w:pPr>
              <w:numPr>
                <w:ilvl w:val="0"/>
                <w:numId w:val="0"/>
              </w:numPr>
              <w:spacing w:line="276" w:lineRule="auto"/>
              <w:rPr>
                <w:rFonts w:hint="default" w:asciiTheme="minorEastAsia" w:hAnsiTheme="minorEastAsia"/>
                <w:sz w:val="24"/>
                <w:szCs w:val="24"/>
                <w:lang w:val="en-US" w:eastAsia="zh-CN"/>
              </w:rPr>
            </w:pPr>
          </w:p>
        </w:tc>
      </w:tr>
    </w:tbl>
    <w:p w14:paraId="2111C2F1"/>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64A4D">
    <w:pPr>
      <w:pStyle w:val="3"/>
    </w:pPr>
    <w:r>
      <w:rPr>
        <w:rFonts w:hint="eastAsia" w:ascii="楷体" w:hAnsi="楷体" w:eastAsia="楷体"/>
        <w:b/>
        <w:color w:val="333333"/>
        <w:sz w:val="21"/>
        <w:szCs w:val="21"/>
      </w:rPr>
      <w:t xml:space="preserve">                                                       晋陕豫大区</w:t>
    </w:r>
    <w:r>
      <w:drawing>
        <wp:anchor distT="0" distB="0" distL="114300" distR="114300" simplePos="0" relativeHeight="251659264" behindDoc="0" locked="0" layoutInCell="1" allowOverlap="1">
          <wp:simplePos x="0" y="0"/>
          <wp:positionH relativeFrom="column">
            <wp:posOffset>-10160</wp:posOffset>
          </wp:positionH>
          <wp:positionV relativeFrom="paragraph">
            <wp:posOffset>-222250</wp:posOffset>
          </wp:positionV>
          <wp:extent cx="2109470" cy="341630"/>
          <wp:effectExtent l="19050" t="0" r="2651" b="0"/>
          <wp:wrapNone/>
          <wp:docPr id="9" name="Picture 19"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9" descr="基础部分2"/>
                  <pic:cNvPicPr>
                    <a:picLocks noChangeAspect="1" noChangeArrowheads="1"/>
                  </pic:cNvPicPr>
                </pic:nvPicPr>
                <pic:blipFill>
                  <a:blip r:embed="rId1"/>
                  <a:srcRect/>
                  <a:stretch>
                    <a:fillRect/>
                  </a:stretch>
                </pic:blipFill>
                <pic:spPr>
                  <a:xfrm>
                    <a:off x="0" y="0"/>
                    <a:ext cx="2111899" cy="34190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5053D"/>
    <w:multiLevelType w:val="singleLevel"/>
    <w:tmpl w:val="E765053D"/>
    <w:lvl w:ilvl="0" w:tentative="0">
      <w:start w:val="1"/>
      <w:numFmt w:val="decimal"/>
      <w:suff w:val="nothing"/>
      <w:lvlText w:val="%1、"/>
      <w:lvlJc w:val="left"/>
    </w:lvl>
  </w:abstractNum>
  <w:abstractNum w:abstractNumId="1">
    <w:nsid w:val="E99B356B"/>
    <w:multiLevelType w:val="singleLevel"/>
    <w:tmpl w:val="E99B356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DBiODRlYzA5NDI3NDMwYzlmNjQyZGYwZjcyZjcifQ=="/>
    <w:docVar w:name="KSO_WPS_MARK_KEY" w:val="059a9b75-1250-4e4f-8d36-46fd1aa95207"/>
  </w:docVars>
  <w:rsids>
    <w:rsidRoot w:val="00D84AF8"/>
    <w:rsid w:val="0004074C"/>
    <w:rsid w:val="00083622"/>
    <w:rsid w:val="000955CD"/>
    <w:rsid w:val="000A2323"/>
    <w:rsid w:val="000B051B"/>
    <w:rsid w:val="000D51CB"/>
    <w:rsid w:val="000D7651"/>
    <w:rsid w:val="00136CF0"/>
    <w:rsid w:val="0014177E"/>
    <w:rsid w:val="001D576A"/>
    <w:rsid w:val="001E2570"/>
    <w:rsid w:val="001F0636"/>
    <w:rsid w:val="00291782"/>
    <w:rsid w:val="002A637F"/>
    <w:rsid w:val="002C382A"/>
    <w:rsid w:val="0030628D"/>
    <w:rsid w:val="00343A9A"/>
    <w:rsid w:val="00426350"/>
    <w:rsid w:val="00440598"/>
    <w:rsid w:val="00452104"/>
    <w:rsid w:val="004E2BF7"/>
    <w:rsid w:val="00567655"/>
    <w:rsid w:val="005C5ECB"/>
    <w:rsid w:val="006A5C34"/>
    <w:rsid w:val="00706A7D"/>
    <w:rsid w:val="00752320"/>
    <w:rsid w:val="007C55EE"/>
    <w:rsid w:val="00893E22"/>
    <w:rsid w:val="0090356E"/>
    <w:rsid w:val="00960785"/>
    <w:rsid w:val="009E38E8"/>
    <w:rsid w:val="00A276B2"/>
    <w:rsid w:val="00A33F1C"/>
    <w:rsid w:val="00AA37E9"/>
    <w:rsid w:val="00AD36CD"/>
    <w:rsid w:val="00B87EC9"/>
    <w:rsid w:val="00C15547"/>
    <w:rsid w:val="00C731D9"/>
    <w:rsid w:val="00C86323"/>
    <w:rsid w:val="00CC245F"/>
    <w:rsid w:val="00D84AF8"/>
    <w:rsid w:val="00F815F7"/>
    <w:rsid w:val="00FC68D3"/>
    <w:rsid w:val="014D28C9"/>
    <w:rsid w:val="01E50D53"/>
    <w:rsid w:val="01F3521E"/>
    <w:rsid w:val="023615AF"/>
    <w:rsid w:val="034A5312"/>
    <w:rsid w:val="04E62E18"/>
    <w:rsid w:val="08966904"/>
    <w:rsid w:val="08DF64FD"/>
    <w:rsid w:val="08F36A6C"/>
    <w:rsid w:val="08FF26FB"/>
    <w:rsid w:val="090146C5"/>
    <w:rsid w:val="0B3B3792"/>
    <w:rsid w:val="0BDF6813"/>
    <w:rsid w:val="0D9F44AC"/>
    <w:rsid w:val="0DA43871"/>
    <w:rsid w:val="0DED50DD"/>
    <w:rsid w:val="0E484B44"/>
    <w:rsid w:val="0EC56195"/>
    <w:rsid w:val="0F761253"/>
    <w:rsid w:val="104F3150"/>
    <w:rsid w:val="10B262A5"/>
    <w:rsid w:val="13AC7923"/>
    <w:rsid w:val="13BD38DE"/>
    <w:rsid w:val="13C609E5"/>
    <w:rsid w:val="14353475"/>
    <w:rsid w:val="14F74BCE"/>
    <w:rsid w:val="163A2FC4"/>
    <w:rsid w:val="16A74760"/>
    <w:rsid w:val="17CD1C16"/>
    <w:rsid w:val="196640D0"/>
    <w:rsid w:val="1AB1581F"/>
    <w:rsid w:val="1B60171F"/>
    <w:rsid w:val="1B852F33"/>
    <w:rsid w:val="1C2E5379"/>
    <w:rsid w:val="1CD66B69"/>
    <w:rsid w:val="1D416E30"/>
    <w:rsid w:val="1EE91A2B"/>
    <w:rsid w:val="20BB3978"/>
    <w:rsid w:val="21676C37"/>
    <w:rsid w:val="21B20B81"/>
    <w:rsid w:val="21C978F2"/>
    <w:rsid w:val="23270D74"/>
    <w:rsid w:val="235C0A1E"/>
    <w:rsid w:val="240B41F2"/>
    <w:rsid w:val="24AF629C"/>
    <w:rsid w:val="250F1AC0"/>
    <w:rsid w:val="27392E24"/>
    <w:rsid w:val="27804079"/>
    <w:rsid w:val="28224201"/>
    <w:rsid w:val="29543F45"/>
    <w:rsid w:val="29DB6414"/>
    <w:rsid w:val="2AB5083B"/>
    <w:rsid w:val="2DA34768"/>
    <w:rsid w:val="2F364819"/>
    <w:rsid w:val="3034687E"/>
    <w:rsid w:val="31E25533"/>
    <w:rsid w:val="321C5A59"/>
    <w:rsid w:val="32AF62A6"/>
    <w:rsid w:val="34943D90"/>
    <w:rsid w:val="35BE7316"/>
    <w:rsid w:val="37B3277F"/>
    <w:rsid w:val="396E4BAF"/>
    <w:rsid w:val="3AA0348E"/>
    <w:rsid w:val="3C1E0B0E"/>
    <w:rsid w:val="3E75253C"/>
    <w:rsid w:val="3F95168A"/>
    <w:rsid w:val="451C1246"/>
    <w:rsid w:val="47356EEB"/>
    <w:rsid w:val="48B84D6A"/>
    <w:rsid w:val="48C447EC"/>
    <w:rsid w:val="49E87833"/>
    <w:rsid w:val="4A404346"/>
    <w:rsid w:val="4ABF6404"/>
    <w:rsid w:val="4BD5286C"/>
    <w:rsid w:val="4C7C4D95"/>
    <w:rsid w:val="4E2C6549"/>
    <w:rsid w:val="4E6A7BE3"/>
    <w:rsid w:val="50BC224C"/>
    <w:rsid w:val="5224454D"/>
    <w:rsid w:val="55562C6F"/>
    <w:rsid w:val="56156687"/>
    <w:rsid w:val="56582A17"/>
    <w:rsid w:val="570B7A8A"/>
    <w:rsid w:val="571C3A45"/>
    <w:rsid w:val="580C3AB9"/>
    <w:rsid w:val="587F4246"/>
    <w:rsid w:val="58C12AF6"/>
    <w:rsid w:val="59A24F27"/>
    <w:rsid w:val="5A44578C"/>
    <w:rsid w:val="5B294982"/>
    <w:rsid w:val="5B4A6DD2"/>
    <w:rsid w:val="5C311D40"/>
    <w:rsid w:val="5C3D06E5"/>
    <w:rsid w:val="5CFA65D6"/>
    <w:rsid w:val="5D1F428F"/>
    <w:rsid w:val="5E39312E"/>
    <w:rsid w:val="5E6D09FC"/>
    <w:rsid w:val="5EAA5DDA"/>
    <w:rsid w:val="5EF86B45"/>
    <w:rsid w:val="5F830B05"/>
    <w:rsid w:val="603242D9"/>
    <w:rsid w:val="62856942"/>
    <w:rsid w:val="634E0909"/>
    <w:rsid w:val="63C811DC"/>
    <w:rsid w:val="63E43B3C"/>
    <w:rsid w:val="65515201"/>
    <w:rsid w:val="6689113A"/>
    <w:rsid w:val="66A15D14"/>
    <w:rsid w:val="67973300"/>
    <w:rsid w:val="69787200"/>
    <w:rsid w:val="699D6C67"/>
    <w:rsid w:val="69B31FE7"/>
    <w:rsid w:val="69BF62F9"/>
    <w:rsid w:val="6A1C4030"/>
    <w:rsid w:val="6A86594D"/>
    <w:rsid w:val="6B1A2C85"/>
    <w:rsid w:val="6BE30CF4"/>
    <w:rsid w:val="6BF3491C"/>
    <w:rsid w:val="6BFA3EFD"/>
    <w:rsid w:val="6C1F1BB5"/>
    <w:rsid w:val="6CF3143A"/>
    <w:rsid w:val="6E8B3532"/>
    <w:rsid w:val="71B26AD7"/>
    <w:rsid w:val="71C72AD3"/>
    <w:rsid w:val="71CD6C87"/>
    <w:rsid w:val="726C367A"/>
    <w:rsid w:val="727F33AE"/>
    <w:rsid w:val="739509AF"/>
    <w:rsid w:val="73CB4264"/>
    <w:rsid w:val="75537048"/>
    <w:rsid w:val="763576D2"/>
    <w:rsid w:val="774150D6"/>
    <w:rsid w:val="7762324F"/>
    <w:rsid w:val="77CA4133"/>
    <w:rsid w:val="792E51E6"/>
    <w:rsid w:val="7A150154"/>
    <w:rsid w:val="7A7C4677"/>
    <w:rsid w:val="7ACD0A2E"/>
    <w:rsid w:val="7B5831EC"/>
    <w:rsid w:val="7C703D67"/>
    <w:rsid w:val="7C8D4919"/>
    <w:rsid w:val="7D875502"/>
    <w:rsid w:val="7DB04589"/>
    <w:rsid w:val="7DE93DD1"/>
    <w:rsid w:val="7ECB797B"/>
    <w:rsid w:val="7ECF746B"/>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595</Words>
  <Characters>609</Characters>
  <Lines>5</Lines>
  <Paragraphs>1</Paragraphs>
  <TotalTime>5</TotalTime>
  <ScaleCrop>false</ScaleCrop>
  <LinksUpToDate>false</LinksUpToDate>
  <CharactersWithSpaces>614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2021-11-08T10:30:00Z</dcterms:created>
  <dc:creator>yl</dc:creator>
  <cp:lastModifiedBy>淡漠、青衫</cp:lastModifiedBy>
  <dcterms:modified xsi:type="dcterms:W3CDTF">2024-07-18T01:10:13Z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68FC31374B134F7F974B1B0D3C43B558_13</vt:lpwstr>
  </property>
</Properties>
</file>