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jc w:val="center"/>
        <w:rPr>
          <w:rFonts w:ascii="黑体" w:hAnsi="黑体" w:eastAsia="黑体"/>
          <w:b/>
          <w:sz w:val="36"/>
          <w:szCs w:val="36"/>
        </w:rPr>
      </w:pPr>
      <w:r>
        <w:rPr>
          <w:rFonts w:hint="eastAsia" w:ascii="黑体" w:hAnsi="黑体" w:eastAsia="黑体"/>
          <w:b/>
          <w:sz w:val="36"/>
          <w:szCs w:val="36"/>
        </w:rPr>
        <w:t>会议纪要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6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b/>
                <w:sz w:val="28"/>
                <w:szCs w:val="28"/>
              </w:rPr>
            </w:pPr>
            <w:r>
              <w:rPr>
                <w:rFonts w:hint="eastAsia" w:asciiTheme="minorEastAsia" w:hAnsiTheme="minorEastAsia"/>
                <w:b/>
                <w:sz w:val="28"/>
                <w:szCs w:val="28"/>
              </w:rPr>
              <w:t>会议主题</w:t>
            </w:r>
          </w:p>
        </w:tc>
        <w:tc>
          <w:tcPr>
            <w:tcW w:w="6854" w:type="dxa"/>
          </w:tcPr>
          <w:p>
            <w:pPr>
              <w:spacing w:line="276" w:lineRule="auto"/>
              <w:rPr>
                <w:rFonts w:asciiTheme="minorEastAsia" w:hAnsiTheme="minorEastAsia"/>
                <w:sz w:val="28"/>
                <w:szCs w:val="28"/>
              </w:rPr>
            </w:pPr>
            <w:r>
              <w:rPr>
                <w:rFonts w:hint="eastAsia" w:asciiTheme="minorEastAsia" w:hAnsiTheme="minorEastAsia"/>
                <w:sz w:val="28"/>
                <w:szCs w:val="28"/>
              </w:rPr>
              <w:t>晋陕豫月度会议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会议时间</w:t>
            </w:r>
          </w:p>
        </w:tc>
        <w:tc>
          <w:tcPr>
            <w:tcW w:w="6854" w:type="dxa"/>
          </w:tcPr>
          <w:p>
            <w:pPr>
              <w:spacing w:line="276" w:lineRule="auto"/>
              <w:rPr>
                <w:rFonts w:asciiTheme="minorEastAsia" w:hAnsiTheme="minorEastAsia"/>
                <w:sz w:val="28"/>
                <w:szCs w:val="28"/>
              </w:rPr>
            </w:pPr>
            <w:r>
              <w:rPr>
                <w:rFonts w:hint="eastAsia" w:asciiTheme="minorEastAsia" w:hAnsiTheme="minorEastAsia"/>
                <w:color w:val="333333"/>
                <w:sz w:val="28"/>
                <w:szCs w:val="28"/>
              </w:rPr>
              <w:t>202</w:t>
            </w:r>
            <w:r>
              <w:rPr>
                <w:rFonts w:hint="eastAsia" w:asciiTheme="minorEastAsia" w:hAnsiTheme="minorEastAsia"/>
                <w:color w:val="333333"/>
                <w:sz w:val="28"/>
                <w:szCs w:val="28"/>
                <w:lang w:val="en-US" w:eastAsia="zh-CN"/>
              </w:rPr>
              <w:t>4</w:t>
            </w:r>
            <w:r>
              <w:rPr>
                <w:rFonts w:hint="eastAsia" w:asciiTheme="minorEastAsia" w:hAnsiTheme="minorEastAsia"/>
                <w:color w:val="333333"/>
                <w:sz w:val="28"/>
                <w:szCs w:val="28"/>
              </w:rPr>
              <w:t>年</w:t>
            </w:r>
            <w:r>
              <w:rPr>
                <w:rFonts w:hint="eastAsia" w:asciiTheme="minorEastAsia" w:hAnsiTheme="minorEastAsia"/>
                <w:color w:val="333333"/>
                <w:sz w:val="28"/>
                <w:szCs w:val="28"/>
                <w:lang w:val="en-US" w:eastAsia="zh-CN"/>
              </w:rPr>
              <w:t>4</w:t>
            </w:r>
            <w:r>
              <w:rPr>
                <w:rFonts w:hint="eastAsia" w:asciiTheme="minorEastAsia" w:hAnsiTheme="minorEastAsia"/>
                <w:color w:val="333333"/>
                <w:sz w:val="28"/>
                <w:szCs w:val="28"/>
              </w:rPr>
              <w:t>月</w:t>
            </w:r>
            <w:r>
              <w:rPr>
                <w:rFonts w:hint="eastAsia" w:asciiTheme="minorEastAsia" w:hAnsiTheme="minorEastAsia"/>
                <w:color w:val="333333"/>
                <w:sz w:val="28"/>
                <w:szCs w:val="28"/>
                <w:lang w:val="en-US" w:eastAsia="zh-CN"/>
              </w:rPr>
              <w:t>17</w:t>
            </w:r>
            <w:r>
              <w:rPr>
                <w:rFonts w:hint="eastAsia" w:asciiTheme="minorEastAsia" w:hAnsiTheme="minorEastAsia"/>
                <w:color w:val="333333"/>
                <w:sz w:val="28"/>
                <w:szCs w:val="28"/>
              </w:rPr>
              <w:t>日1</w:t>
            </w:r>
            <w:r>
              <w:rPr>
                <w:rFonts w:hint="eastAsia" w:asciiTheme="minorEastAsia" w:hAnsiTheme="minorEastAsia"/>
                <w:color w:val="333333"/>
                <w:sz w:val="28"/>
                <w:szCs w:val="28"/>
                <w:lang w:val="en-US" w:eastAsia="zh-CN"/>
              </w:rPr>
              <w:t>8</w:t>
            </w:r>
            <w:r>
              <w:rPr>
                <w:rFonts w:hint="eastAsia" w:asciiTheme="minorEastAsia" w:hAnsiTheme="minorEastAsia"/>
                <w:color w:val="333333"/>
                <w:sz w:val="28"/>
                <w:szCs w:val="28"/>
              </w:rPr>
              <w:t>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会议方式</w:t>
            </w:r>
          </w:p>
        </w:tc>
        <w:tc>
          <w:tcPr>
            <w:tcW w:w="6854" w:type="dxa"/>
          </w:tcPr>
          <w:p>
            <w:pPr>
              <w:spacing w:line="276"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企业微信会议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sz w:val="28"/>
                <w:szCs w:val="28"/>
              </w:rPr>
            </w:pPr>
            <w:r>
              <w:rPr>
                <w:rFonts w:hint="eastAsia" w:asciiTheme="minorEastAsia" w:hAnsiTheme="minorEastAsia"/>
                <w:b/>
                <w:color w:val="333333"/>
                <w:sz w:val="28"/>
                <w:szCs w:val="28"/>
              </w:rPr>
              <w:t>主持人</w:t>
            </w:r>
          </w:p>
        </w:tc>
        <w:tc>
          <w:tcPr>
            <w:tcW w:w="6854" w:type="dxa"/>
          </w:tcPr>
          <w:p>
            <w:pPr>
              <w:spacing w:line="276"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徐欣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b/>
                <w:sz w:val="28"/>
                <w:szCs w:val="28"/>
              </w:rPr>
            </w:pPr>
            <w:r>
              <w:rPr>
                <w:rFonts w:hint="eastAsia" w:asciiTheme="minorEastAsia" w:hAnsiTheme="minorEastAsia"/>
                <w:b/>
                <w:sz w:val="28"/>
                <w:szCs w:val="28"/>
              </w:rPr>
              <w:t>与会人员</w:t>
            </w:r>
          </w:p>
        </w:tc>
        <w:tc>
          <w:tcPr>
            <w:tcW w:w="6854" w:type="dxa"/>
          </w:tcPr>
          <w:p>
            <w:pPr>
              <w:spacing w:line="276" w:lineRule="auto"/>
              <w:rPr>
                <w:rFonts w:hint="default"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lang w:val="en-US" w:eastAsia="zh-CN"/>
              </w:rPr>
              <w:t>大区经理：</w:t>
            </w:r>
            <w:r>
              <w:rPr>
                <w:rFonts w:hint="eastAsia"/>
                <w:color w:val="auto"/>
                <w:sz w:val="24"/>
                <w:szCs w:val="24"/>
                <w:lang w:val="en-US" w:eastAsia="zh-CN"/>
              </w:rPr>
              <w:t>段尧</w:t>
            </w:r>
          </w:p>
          <w:p>
            <w:pPr>
              <w:spacing w:line="276" w:lineRule="auto"/>
              <w:rPr>
                <w:rFonts w:hint="default" w:asciiTheme="minorEastAsia" w:hAnsiTheme="minorEastAsia" w:eastAsiaTheme="minorEastAsia"/>
                <w:color w:val="auto"/>
                <w:sz w:val="24"/>
                <w:szCs w:val="24"/>
                <w:lang w:val="en-US" w:eastAsia="zh-CN"/>
              </w:rPr>
            </w:pPr>
            <w:r>
              <w:rPr>
                <w:rFonts w:hint="eastAsia" w:asciiTheme="minorEastAsia" w:hAnsiTheme="minorEastAsia"/>
                <w:b/>
                <w:color w:val="auto"/>
                <w:sz w:val="24"/>
                <w:szCs w:val="24"/>
              </w:rPr>
              <w:t>山西站：</w:t>
            </w:r>
            <w:r>
              <w:rPr>
                <w:rFonts w:hint="eastAsia" w:asciiTheme="minorEastAsia" w:hAnsiTheme="minorEastAsia"/>
                <w:color w:val="auto"/>
                <w:sz w:val="24"/>
                <w:szCs w:val="24"/>
              </w:rPr>
              <w:t>刘裕林</w:t>
            </w:r>
            <w:r>
              <w:rPr>
                <w:rFonts w:hint="eastAsia"/>
                <w:color w:val="auto"/>
                <w:sz w:val="24"/>
                <w:szCs w:val="24"/>
              </w:rPr>
              <w:t>、</w:t>
            </w:r>
            <w:r>
              <w:rPr>
                <w:color w:val="auto"/>
                <w:sz w:val="24"/>
                <w:szCs w:val="24"/>
              </w:rPr>
              <w:t>居晋芳</w:t>
            </w:r>
            <w:r>
              <w:rPr>
                <w:rFonts w:hint="eastAsia"/>
                <w:color w:val="auto"/>
                <w:sz w:val="24"/>
                <w:szCs w:val="24"/>
              </w:rPr>
              <w:t>、</w:t>
            </w:r>
            <w:r>
              <w:rPr>
                <w:color w:val="auto"/>
                <w:sz w:val="24"/>
                <w:szCs w:val="24"/>
              </w:rPr>
              <w:t>刘小红</w:t>
            </w:r>
            <w:r>
              <w:rPr>
                <w:rFonts w:hint="eastAsia"/>
                <w:color w:val="auto"/>
                <w:sz w:val="24"/>
                <w:szCs w:val="24"/>
              </w:rPr>
              <w:t>、</w:t>
            </w:r>
            <w:r>
              <w:rPr>
                <w:color w:val="auto"/>
                <w:sz w:val="24"/>
                <w:szCs w:val="24"/>
              </w:rPr>
              <w:t>杨浩</w:t>
            </w:r>
            <w:r>
              <w:rPr>
                <w:rFonts w:hint="eastAsia"/>
                <w:color w:val="auto"/>
                <w:sz w:val="24"/>
                <w:szCs w:val="24"/>
              </w:rPr>
              <w:t>、</w:t>
            </w:r>
            <w:r>
              <w:rPr>
                <w:color w:val="auto"/>
                <w:sz w:val="24"/>
                <w:szCs w:val="24"/>
              </w:rPr>
              <w:t>卢佩磊</w:t>
            </w:r>
            <w:r>
              <w:rPr>
                <w:rFonts w:hint="eastAsia" w:asciiTheme="minorEastAsia" w:hAnsiTheme="minorEastAsia"/>
                <w:color w:val="auto"/>
                <w:sz w:val="24"/>
                <w:szCs w:val="24"/>
              </w:rPr>
              <w:t>、</w:t>
            </w:r>
            <w:r>
              <w:rPr>
                <w:color w:val="auto"/>
                <w:sz w:val="24"/>
                <w:szCs w:val="24"/>
              </w:rPr>
              <w:t>姚键</w:t>
            </w:r>
            <w:r>
              <w:rPr>
                <w:rFonts w:hint="eastAsia"/>
                <w:color w:val="auto"/>
                <w:sz w:val="24"/>
                <w:szCs w:val="24"/>
              </w:rPr>
              <w:t>、郑文燕</w:t>
            </w:r>
            <w:r>
              <w:rPr>
                <w:rFonts w:hint="eastAsia"/>
                <w:color w:val="auto"/>
                <w:sz w:val="24"/>
                <w:szCs w:val="24"/>
                <w:lang w:eastAsia="zh-CN"/>
              </w:rPr>
              <w:t>、</w:t>
            </w:r>
            <w:r>
              <w:rPr>
                <w:rFonts w:hint="eastAsia"/>
                <w:color w:val="auto"/>
                <w:sz w:val="24"/>
                <w:szCs w:val="24"/>
                <w:lang w:val="en-US" w:eastAsia="zh-CN"/>
              </w:rPr>
              <w:t>孔家乐、高星、李韦江、邹新宇</w:t>
            </w:r>
          </w:p>
          <w:p>
            <w:pPr>
              <w:spacing w:line="276" w:lineRule="auto"/>
              <w:rPr>
                <w:rFonts w:hint="eastAsia" w:eastAsiaTheme="minorEastAsia"/>
                <w:color w:val="auto"/>
                <w:sz w:val="24"/>
                <w:szCs w:val="24"/>
                <w:highlight w:val="yellow"/>
                <w:lang w:eastAsia="zh-CN"/>
              </w:rPr>
            </w:pPr>
            <w:r>
              <w:rPr>
                <w:rFonts w:hint="eastAsia" w:asciiTheme="minorEastAsia" w:hAnsiTheme="minorEastAsia"/>
                <w:b/>
                <w:color w:val="auto"/>
                <w:sz w:val="24"/>
                <w:szCs w:val="24"/>
              </w:rPr>
              <w:t>河南站：</w:t>
            </w:r>
            <w:r>
              <w:rPr>
                <w:color w:val="auto"/>
                <w:sz w:val="24"/>
                <w:szCs w:val="24"/>
              </w:rPr>
              <w:t>宋雪迎</w:t>
            </w:r>
            <w:r>
              <w:rPr>
                <w:rFonts w:hint="eastAsia"/>
                <w:color w:val="auto"/>
                <w:sz w:val="24"/>
                <w:szCs w:val="24"/>
              </w:rPr>
              <w:t>、</w:t>
            </w:r>
            <w:r>
              <w:rPr>
                <w:color w:val="auto"/>
                <w:sz w:val="24"/>
                <w:szCs w:val="24"/>
              </w:rPr>
              <w:t>兀军辉</w:t>
            </w:r>
            <w:r>
              <w:rPr>
                <w:rFonts w:hint="eastAsia"/>
                <w:color w:val="auto"/>
                <w:sz w:val="24"/>
                <w:szCs w:val="24"/>
              </w:rPr>
              <w:t>、彭亚萍</w:t>
            </w:r>
            <w:r>
              <w:rPr>
                <w:rFonts w:hint="eastAsia"/>
                <w:color w:val="auto"/>
                <w:sz w:val="24"/>
                <w:szCs w:val="24"/>
                <w:lang w:eastAsia="zh-CN"/>
              </w:rPr>
              <w:t>、</w:t>
            </w:r>
            <w:r>
              <w:rPr>
                <w:rFonts w:hint="eastAsia"/>
                <w:color w:val="auto"/>
                <w:sz w:val="24"/>
                <w:szCs w:val="24"/>
              </w:rPr>
              <w:t>陈东升</w:t>
            </w:r>
          </w:p>
          <w:p>
            <w:pPr>
              <w:spacing w:line="276" w:lineRule="auto"/>
              <w:rPr>
                <w:rFonts w:hint="default"/>
                <w:color w:val="auto"/>
                <w:sz w:val="24"/>
                <w:szCs w:val="24"/>
                <w:lang w:val="en-US" w:eastAsia="zh-CN"/>
              </w:rPr>
            </w:pPr>
            <w:r>
              <w:rPr>
                <w:rFonts w:hint="eastAsia"/>
                <w:b/>
                <w:color w:val="auto"/>
                <w:sz w:val="24"/>
                <w:szCs w:val="24"/>
              </w:rPr>
              <w:t>陕西站：</w:t>
            </w:r>
            <w:r>
              <w:rPr>
                <w:color w:val="auto"/>
                <w:sz w:val="24"/>
                <w:szCs w:val="24"/>
              </w:rPr>
              <w:t>徐欣</w:t>
            </w:r>
            <w:r>
              <w:rPr>
                <w:rFonts w:hint="eastAsia"/>
                <w:color w:val="auto"/>
                <w:sz w:val="24"/>
                <w:szCs w:val="24"/>
              </w:rPr>
              <w:t>、</w:t>
            </w:r>
            <w:r>
              <w:rPr>
                <w:rFonts w:hint="eastAsia"/>
                <w:color w:val="auto"/>
                <w:sz w:val="24"/>
                <w:szCs w:val="24"/>
                <w:lang w:val="en-US" w:eastAsia="zh-CN"/>
              </w:rPr>
              <w:t>高倩文</w:t>
            </w:r>
            <w:r>
              <w:rPr>
                <w:rFonts w:hint="eastAsia"/>
                <w:color w:val="auto"/>
                <w:sz w:val="24"/>
                <w:szCs w:val="24"/>
              </w:rPr>
              <w:t>、</w:t>
            </w:r>
            <w:r>
              <w:rPr>
                <w:rFonts w:hint="eastAsia"/>
                <w:color w:val="auto"/>
                <w:sz w:val="24"/>
                <w:szCs w:val="24"/>
                <w:lang w:val="en-US" w:eastAsia="zh-CN"/>
              </w:rPr>
              <w:t>高晨清</w:t>
            </w:r>
            <w:r>
              <w:rPr>
                <w:rFonts w:hint="eastAsia"/>
                <w:color w:val="auto"/>
                <w:sz w:val="24"/>
                <w:szCs w:val="24"/>
              </w:rPr>
              <w:t>、</w:t>
            </w:r>
            <w:r>
              <w:rPr>
                <w:color w:val="auto"/>
                <w:sz w:val="24"/>
                <w:szCs w:val="24"/>
              </w:rPr>
              <w:t>刘卓</w:t>
            </w:r>
            <w:r>
              <w:rPr>
                <w:rFonts w:hint="eastAsia"/>
                <w:color w:val="auto"/>
                <w:sz w:val="24"/>
                <w:szCs w:val="24"/>
                <w:lang w:eastAsia="zh-CN"/>
              </w:rPr>
              <w:t>、</w:t>
            </w:r>
            <w:r>
              <w:rPr>
                <w:rFonts w:hint="eastAsia"/>
                <w:color w:val="auto"/>
                <w:sz w:val="24"/>
                <w:szCs w:val="24"/>
                <w:lang w:val="en-US" w:eastAsia="zh-CN"/>
              </w:rPr>
              <w:t>秦鹏飞、董倩兰、党泽阳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Align w:val="center"/>
          </w:tcPr>
          <w:p>
            <w:pPr>
              <w:spacing w:line="276" w:lineRule="auto"/>
              <w:jc w:val="center"/>
              <w:rPr>
                <w:rFonts w:asciiTheme="minorEastAsia" w:hAnsiTheme="minorEastAsia"/>
                <w:b/>
                <w:sz w:val="28"/>
                <w:szCs w:val="28"/>
              </w:rPr>
            </w:pPr>
            <w:r>
              <w:rPr>
                <w:rFonts w:hint="eastAsia" w:asciiTheme="minorEastAsia" w:hAnsiTheme="minorEastAsia"/>
                <w:b/>
                <w:sz w:val="28"/>
                <w:szCs w:val="28"/>
              </w:rPr>
              <w:t>会议记录</w:t>
            </w:r>
          </w:p>
        </w:tc>
        <w:tc>
          <w:tcPr>
            <w:tcW w:w="6854" w:type="dxa"/>
          </w:tcPr>
          <w:p>
            <w:pPr>
              <w:spacing w:line="276"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孔家乐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restart"/>
            <w:textDirection w:val="tbRlV"/>
            <w:vAlign w:val="center"/>
          </w:tcPr>
          <w:p>
            <w:pPr>
              <w:spacing w:line="276" w:lineRule="auto"/>
              <w:jc w:val="center"/>
              <w:rPr>
                <w:rFonts w:asciiTheme="minorEastAsia" w:hAnsiTheme="minorEastAsia"/>
                <w:sz w:val="28"/>
                <w:szCs w:val="28"/>
              </w:rPr>
            </w:pPr>
            <w:r>
              <w:rPr>
                <w:rFonts w:hint="eastAsia" w:asciiTheme="minorEastAsia" w:hAnsiTheme="minorEastAsia"/>
                <w:sz w:val="28"/>
                <w:szCs w:val="28"/>
              </w:rPr>
              <w:t>会 议 主 要 内 容</w:t>
            </w:r>
          </w:p>
        </w:tc>
        <w:tc>
          <w:tcPr>
            <w:tcW w:w="6854" w:type="dxa"/>
          </w:tcPr>
          <w:p>
            <w:pPr>
              <w:spacing w:line="276" w:lineRule="auto"/>
              <w:rPr>
                <w:rFonts w:hint="default" w:asciiTheme="minorEastAsia" w:hAnsiTheme="minorEastAsia" w:eastAsiaTheme="minorEastAsia"/>
                <w:b/>
                <w:sz w:val="24"/>
                <w:szCs w:val="24"/>
                <w:lang w:val="en-US" w:eastAsia="zh-CN"/>
              </w:rPr>
            </w:pPr>
            <w:r>
              <w:rPr>
                <w:rFonts w:hint="eastAsia" w:asciiTheme="minorEastAsia" w:hAnsiTheme="minorEastAsia"/>
                <w:b/>
                <w:sz w:val="24"/>
                <w:szCs w:val="24"/>
              </w:rPr>
              <w:t>一、</w:t>
            </w:r>
            <w:r>
              <w:rPr>
                <w:rFonts w:hint="eastAsia" w:asciiTheme="minorEastAsia" w:hAnsiTheme="minorEastAsia"/>
                <w:b/>
                <w:sz w:val="24"/>
                <w:szCs w:val="24"/>
                <w:lang w:val="en-US" w:eastAsia="zh-CN"/>
              </w:rPr>
              <w:t>工作计划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3" w:hRule="atLeast"/>
        </w:trPr>
        <w:tc>
          <w:tcPr>
            <w:tcW w:w="1668" w:type="dxa"/>
            <w:vMerge w:val="continue"/>
          </w:tcPr>
          <w:p>
            <w:pPr>
              <w:spacing w:line="276" w:lineRule="auto"/>
              <w:rPr>
                <w:rFonts w:asciiTheme="minorEastAsia" w:hAnsiTheme="minorEastAsia"/>
                <w:szCs w:val="21"/>
              </w:rPr>
            </w:pPr>
          </w:p>
        </w:tc>
        <w:tc>
          <w:tcPr>
            <w:tcW w:w="6854" w:type="dxa"/>
          </w:tcPr>
          <w:p>
            <w:pPr>
              <w:numPr>
                <w:ilvl w:val="0"/>
                <w:numId w:val="0"/>
              </w:numPr>
              <w:spacing w:line="276"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工作重点：</w:t>
            </w:r>
          </w:p>
          <w:p>
            <w:pPr>
              <w:numPr>
                <w:ilvl w:val="0"/>
                <w:numId w:val="0"/>
              </w:numPr>
              <w:spacing w:line="276" w:lineRule="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结合4月12日部门月度会议相关要求，我区域应重点做好以下工作：</w:t>
            </w:r>
          </w:p>
          <w:p>
            <w:pPr>
              <w:numPr>
                <w:ilvl w:val="0"/>
                <w:numId w:val="1"/>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企宣部的文章定期转发。</w:t>
            </w:r>
          </w:p>
          <w:p>
            <w:pPr>
              <w:numPr>
                <w:ilvl w:val="0"/>
                <w:numId w:val="1"/>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软件补丁包升级不及时，省厅、阳泉、吕梁延迟升级。</w:t>
            </w:r>
          </w:p>
          <w:p>
            <w:pPr>
              <w:numPr>
                <w:ilvl w:val="0"/>
                <w:numId w:val="1"/>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遇到技术问题联系山西主管杨浩，陕西主管徐欣，河南主管宋雪莹。</w:t>
            </w:r>
          </w:p>
          <w:p>
            <w:pPr>
              <w:numPr>
                <w:ilvl w:val="0"/>
                <w:numId w:val="1"/>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把握身边的项目意向，运维合同超期现象严重，遇到问题尽快联系相关销售。</w:t>
            </w:r>
          </w:p>
          <w:p>
            <w:pPr>
              <w:numPr>
                <w:ilvl w:val="0"/>
                <w:numId w:val="1"/>
              </w:numPr>
              <w:spacing w:line="276" w:lineRule="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技术工作中需要公司协调资源的遇到困难的，联系徐欣，销售工作问题联系彭亚萍。</w:t>
            </w:r>
          </w:p>
          <w:p>
            <w:pPr>
              <w:numPr>
                <w:ilvl w:val="0"/>
                <w:numId w:val="1"/>
              </w:numPr>
              <w:spacing w:line="276" w:lineRule="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做好打卡记录，遵守纪律。</w:t>
            </w:r>
            <w:bookmarkStart w:id="0" w:name="_GoBack"/>
            <w:bookmarkEnd w:id="0"/>
          </w:p>
          <w:p>
            <w:pPr>
              <w:numPr>
                <w:ilvl w:val="0"/>
                <w:numId w:val="1"/>
              </w:numPr>
              <w:spacing w:line="276" w:lineRule="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单位企业微信不要屏蔽。</w:t>
            </w:r>
          </w:p>
          <w:p>
            <w:pPr>
              <w:numPr>
                <w:ilvl w:val="0"/>
                <w:numId w:val="1"/>
              </w:numPr>
              <w:spacing w:line="276" w:lineRule="auto"/>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定制化升级的地区及时和客户以及公司内部沟通，避免盲目升级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spacing w:line="276" w:lineRule="auto"/>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二、其他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line="276" w:lineRule="auto"/>
              <w:rPr>
                <w:rFonts w:asciiTheme="minorEastAsia" w:hAnsiTheme="minorEastAsia"/>
                <w:sz w:val="28"/>
                <w:szCs w:val="28"/>
              </w:rPr>
            </w:pPr>
          </w:p>
        </w:tc>
        <w:tc>
          <w:tcPr>
            <w:tcW w:w="6854" w:type="dxa"/>
          </w:tcPr>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国产化：公司决定同步开展国产化适配的研发工作及市场推广。</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研发方面已提供2套技术方案，工作量已核算；</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方案方面初稿已出，待定稿后部门内宣讲；</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市场方面：各区域需摸底国产化需求及2025年预算。</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最新的4.3整合包公司已经整理完毕，后期新部署地市直接使用新整合包。原整合包保留至4月底。</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在保证G段现有市场的前提下，以部长四不两直的工作方式积极推广巡检服务。</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加强易系列产品的推广，通过易系列产品收集相关数据，并且在此基础数挖掘可以发挥数据价值的服务或者产品。</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按照去年公司下发的激励机制，我们人员要寻求G端市场的创新，今年的G端增值服务会纳入考核（10%的销售提成，5%的实施提成）</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各人员在日常服务中，应多观察，多收集企业的需求，为公司的产品迭代做支撑。</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各销售人员及时关注快到期或已到期的合同进度，尽量减少合同空档期。按照合同规定及时催收合同款，保证回款率。</w:t>
            </w:r>
          </w:p>
          <w:p>
            <w:pPr>
              <w:numPr>
                <w:ilvl w:val="0"/>
                <w:numId w:val="2"/>
              </w:numPr>
              <w:spacing w:line="276" w:lineRule="auto"/>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自动升级工具部署与文件服务器同步工具是最近一段时间的重点事项。</w:t>
            </w:r>
          </w:p>
          <w:p>
            <w:pPr>
              <w:numPr>
                <w:ilvl w:val="0"/>
                <w:numId w:val="2"/>
              </w:numPr>
              <w:spacing w:line="276" w:lineRule="auto"/>
              <w:rPr>
                <w:rFonts w:hint="default" w:asciiTheme="minorEastAsia" w:hAnsiTheme="minorEastAsia"/>
                <w:sz w:val="24"/>
                <w:szCs w:val="24"/>
                <w:lang w:val="en-US" w:eastAsia="zh-CN"/>
              </w:rPr>
            </w:pPr>
            <w:r>
              <w:rPr>
                <w:rFonts w:hint="eastAsia" w:asciiTheme="minorEastAsia" w:hAnsiTheme="minorEastAsia"/>
                <w:b w:val="0"/>
                <w:bCs w:val="0"/>
                <w:sz w:val="24"/>
                <w:szCs w:val="24"/>
                <w:lang w:val="en-US" w:eastAsia="zh-CN"/>
              </w:rPr>
              <w:t>加强互动，区域内服务经理与员工之间的互动、区域之间的互动、总部与各区域之间的互动。</w:t>
            </w:r>
          </w:p>
          <w:p>
            <w:pPr>
              <w:numPr>
                <w:ilvl w:val="0"/>
                <w:numId w:val="2"/>
              </w:numPr>
              <w:spacing w:line="276"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补丁包的升级期限为十天，升级结束后及时进行进度填写。</w:t>
            </w:r>
          </w:p>
          <w:p>
            <w:pPr>
              <w:numPr>
                <w:ilvl w:val="0"/>
                <w:numId w:val="2"/>
              </w:numPr>
              <w:spacing w:line="276"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结果物按时按量按要求提供。</w:t>
            </w:r>
          </w:p>
          <w:p>
            <w:pPr>
              <w:numPr>
                <w:ilvl w:val="0"/>
                <w:numId w:val="2"/>
              </w:numPr>
              <w:spacing w:line="276"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自动监控升级工具情况调查表内不要留空，如有特殊情况在表内备注。</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楷体" w:hAnsi="楷体" w:eastAsia="楷体"/>
        <w:b/>
        <w:color w:val="333333"/>
        <w:sz w:val="21"/>
        <w:szCs w:val="21"/>
      </w:rPr>
      <w:t xml:space="preserve">                                                       晋陕豫大区</w:t>
    </w:r>
    <w:r>
      <w:drawing>
        <wp:anchor distT="0" distB="0" distL="114300" distR="114300" simplePos="0" relativeHeight="251659264" behindDoc="0" locked="0" layoutInCell="1" allowOverlap="1">
          <wp:simplePos x="0" y="0"/>
          <wp:positionH relativeFrom="column">
            <wp:posOffset>-10160</wp:posOffset>
          </wp:positionH>
          <wp:positionV relativeFrom="paragraph">
            <wp:posOffset>-222250</wp:posOffset>
          </wp:positionV>
          <wp:extent cx="2109470" cy="341630"/>
          <wp:effectExtent l="19050" t="0" r="2651" b="0"/>
          <wp:wrapNone/>
          <wp:docPr id="9" name="Picture 19"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基础部分2"/>
                  <pic:cNvPicPr>
                    <a:picLocks noChangeAspect="1" noChangeArrowheads="1"/>
                  </pic:cNvPicPr>
                </pic:nvPicPr>
                <pic:blipFill>
                  <a:blip r:embed="rId1"/>
                  <a:srcRect/>
                  <a:stretch>
                    <a:fillRect/>
                  </a:stretch>
                </pic:blipFill>
                <pic:spPr>
                  <a:xfrm>
                    <a:off x="0" y="0"/>
                    <a:ext cx="2111899" cy="3419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92D9A"/>
    <w:multiLevelType w:val="singleLevel"/>
    <w:tmpl w:val="99692D9A"/>
    <w:lvl w:ilvl="0" w:tentative="0">
      <w:start w:val="1"/>
      <w:numFmt w:val="decimal"/>
      <w:suff w:val="nothing"/>
      <w:lvlText w:val="%1、"/>
      <w:lvlJc w:val="left"/>
    </w:lvl>
  </w:abstractNum>
  <w:abstractNum w:abstractNumId="1">
    <w:nsid w:val="4B2DD9A7"/>
    <w:multiLevelType w:val="singleLevel"/>
    <w:tmpl w:val="4B2DD9A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DBiODRlYzA5NDI3NDMwYzlmNjQyZGYwZjcyZjcifQ=="/>
    <w:docVar w:name="KSO_WPS_MARK_KEY" w:val="059a9b75-1250-4e4f-8d36-46fd1aa95207"/>
  </w:docVars>
  <w:rsids>
    <w:rsidRoot w:val="00D84AF8"/>
    <w:rsid w:val="0004074C"/>
    <w:rsid w:val="00083622"/>
    <w:rsid w:val="000955CD"/>
    <w:rsid w:val="000A2323"/>
    <w:rsid w:val="000B051B"/>
    <w:rsid w:val="000D51CB"/>
    <w:rsid w:val="000D7651"/>
    <w:rsid w:val="00136CF0"/>
    <w:rsid w:val="0014177E"/>
    <w:rsid w:val="001D576A"/>
    <w:rsid w:val="001E2570"/>
    <w:rsid w:val="001F0636"/>
    <w:rsid w:val="00291782"/>
    <w:rsid w:val="002A637F"/>
    <w:rsid w:val="002C382A"/>
    <w:rsid w:val="0030628D"/>
    <w:rsid w:val="00343A9A"/>
    <w:rsid w:val="00426350"/>
    <w:rsid w:val="00440598"/>
    <w:rsid w:val="00452104"/>
    <w:rsid w:val="004E2BF7"/>
    <w:rsid w:val="00567655"/>
    <w:rsid w:val="005C5ECB"/>
    <w:rsid w:val="006A5C34"/>
    <w:rsid w:val="00706A7D"/>
    <w:rsid w:val="00752320"/>
    <w:rsid w:val="007C55EE"/>
    <w:rsid w:val="00893E22"/>
    <w:rsid w:val="0090356E"/>
    <w:rsid w:val="00960785"/>
    <w:rsid w:val="009E38E8"/>
    <w:rsid w:val="00A276B2"/>
    <w:rsid w:val="00A33F1C"/>
    <w:rsid w:val="00AA37E9"/>
    <w:rsid w:val="00AD36CD"/>
    <w:rsid w:val="00B87EC9"/>
    <w:rsid w:val="00C15547"/>
    <w:rsid w:val="00C731D9"/>
    <w:rsid w:val="00C86323"/>
    <w:rsid w:val="00CC245F"/>
    <w:rsid w:val="00D84AF8"/>
    <w:rsid w:val="00F815F7"/>
    <w:rsid w:val="00FC68D3"/>
    <w:rsid w:val="08F36A6C"/>
    <w:rsid w:val="0DED50DD"/>
    <w:rsid w:val="0F761253"/>
    <w:rsid w:val="104F3150"/>
    <w:rsid w:val="16A74760"/>
    <w:rsid w:val="1CD66B69"/>
    <w:rsid w:val="1D416E30"/>
    <w:rsid w:val="27804079"/>
    <w:rsid w:val="28224201"/>
    <w:rsid w:val="29543F45"/>
    <w:rsid w:val="31E25533"/>
    <w:rsid w:val="32AF62A6"/>
    <w:rsid w:val="48B84D6A"/>
    <w:rsid w:val="587F4246"/>
    <w:rsid w:val="59A24F27"/>
    <w:rsid w:val="69BF62F9"/>
    <w:rsid w:val="6A86594D"/>
    <w:rsid w:val="6B1A2C85"/>
    <w:rsid w:val="6BE30CF4"/>
    <w:rsid w:val="739509AF"/>
    <w:rsid w:val="75537048"/>
    <w:rsid w:val="7762324F"/>
    <w:rsid w:val="7B5831EC"/>
    <w:rsid w:val="7DB0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325</Characters>
  <Lines>5</Lines>
  <Paragraphs>1</Paragraphs>
  <TotalTime>1</TotalTime>
  <ScaleCrop>false</ScaleCrop>
  <LinksUpToDate>false</LinksUpToDate>
  <CharactersWithSpaces>330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2021-11-08T10:30:00Z</dcterms:created>
  <dc:creator>yl</dc:creator>
  <cp:lastModifiedBy>淡漠、青衫</cp:lastModifiedBy>
  <dcterms:modified xsi:type="dcterms:W3CDTF">2024-04-18T01:04:05Z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3D00EC5A46354448A00DBC0BC907647D_13</vt:lpwstr>
  </property>
</Properties>
</file>