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180"/>
        <w:gridCol w:w="1280"/>
        <w:gridCol w:w="5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《云贵川渝大区1月工作总结及下月工作计划》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月工作总结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四川：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给大气处导出2023年全年以及2024年1月排放量数据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给大气处导出2023年第4季度浓度均值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线索筛查-攀枝花、乐山、广安、宜宾、达州、眉山、泸州、南充、内江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提供自动监控方面的题库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垃圾焚烧、危废行业的企业清单排查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垃圾、水泥、火电关键工况参数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全省基础信息完善进度调度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全省超期未联网收集上报--已提交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全省补丁升级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阿里中台需要2022年数据，给中间库导入2022年小时数据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处理服务器漏洞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凉山州数据目录一体化编目录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遂宁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核对排污许可证资料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遂宁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协助大气监测站做表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遂宁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2023年大气处材料制作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乐山月严重超标企业信息填报反馈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乐山基础信息的同步录入等日常运维工作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攀枝花APP功能修改已经报送至张旭（新需求）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攀枝花补丁升级出现故障，已由开发处理完成--省级补丁影响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攀枝花传输率督促企业标记处理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攀枝花协助党支部、收集核检材料、发现疑似修改数据的线索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宜宾交换服务器扩容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宜宾废气重点企业排放量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德阳pg服务器漏洞升级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德阳大气预警数据调度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甘孜整理地市文件15年至今案卷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甘孜协助尹支队整理仓库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甘孜执法设备整理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甘孜学习补丁升级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云南：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系统升级、服务器漏洞处理、排查系统问题处理、长期暂缓名单剔除、第二批名单上传、异常线索统计反馈、严重超标问题处理、监测设备维护标记、三大行业监管的通知、数据提供存在45家不一致、24年国发项目单、督办规则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贵州：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上报2024年审核清单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，有效传输率已经90以上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协助基础信息排查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操作有效传输率操作变更</w:t>
            </w:r>
          </w:p>
          <w:p>
            <w:pPr>
              <w:pStyle w:val="9"/>
              <w:widowControl/>
              <w:numPr>
                <w:ilvl w:val="0"/>
                <w:numId w:val="3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排查系统未联网企业进行梳理、跟踪、处理</w:t>
            </w:r>
          </w:p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重庆：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长期暂缓企业的申诉处理；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处理基础信息的事，涉及与市平台的对接、以及基础信息的同步录入；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异常线索的核对、反馈（算日常工作）；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补丁升级；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日常工作，超期未联网，补丁升级，基本信息核对（长期工作）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numPr>
                <w:ilvl w:val="0"/>
                <w:numId w:val="5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排查系统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全国联网统计页面已联网排口数与实际收到数据的排口数不一致，从未联网但录停运也算已联网，等待修改统计说明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有效传输率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个别企业污染物应报数据条数和组翻倍是系统BUG等待处理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ind w:left="425" w:leftChars="0" w:hanging="425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贵州省4.2交换服务器坏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巴中市运维和易查查事宜沟通</w:t>
            </w:r>
          </w:p>
          <w:p>
            <w:pPr>
              <w:pStyle w:val="9"/>
              <w:numPr>
                <w:ilvl w:val="0"/>
                <w:numId w:val="6"/>
              </w:numPr>
              <w:ind w:left="360" w:leftChars="0" w:hanging="36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贵州省和贵阳市运维事宜沟通，贵州省正在起草合同；贵阳是的运维正在走单一来源流程，预计节后开标</w:t>
            </w:r>
          </w:p>
          <w:p>
            <w:pPr>
              <w:pStyle w:val="9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邛崃招投标事宜与合同拟订</w:t>
            </w:r>
          </w:p>
          <w:p>
            <w:pPr>
              <w:pStyle w:val="9"/>
              <w:numPr>
                <w:ilvl w:val="0"/>
                <w:numId w:val="6"/>
              </w:numPr>
              <w:ind w:left="360" w:leftChars="0" w:hanging="36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成都上会资料准备</w:t>
            </w:r>
          </w:p>
          <w:p>
            <w:pPr>
              <w:pStyle w:val="9"/>
              <w:numPr>
                <w:ilvl w:val="0"/>
                <w:numId w:val="6"/>
              </w:numPr>
              <w:ind w:left="360" w:leftChars="0" w:hanging="36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广元市回款合同拟订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四川省：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全省联网率、基础信息、排查系统、水泥焦化超低排放清单的持续调度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有效传输率跟进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春节做好厅长下查企业的数据支持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数据库备份抽查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攀枝花app升级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宜宾分析全市大气重点企业污染物排放量的情况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补丁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甘孜装修会议室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甘孜新同事在线学习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贵州重庆云南：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贵州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安顺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服务器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问题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协助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提升有效传输率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基础信息核对跟进</w:t>
            </w:r>
          </w:p>
          <w:p>
            <w:pPr>
              <w:pStyle w:val="9"/>
              <w:numPr>
                <w:ilvl w:val="0"/>
                <w:numId w:val="7"/>
              </w:numPr>
              <w:ind w:left="425" w:leftChars="0" w:hanging="425" w:firstLine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排查系统联网排查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主要贵州省和贵阳市的运维合同续签事宜</w:t>
            </w:r>
          </w:p>
          <w:p>
            <w:pPr>
              <w:widowControl/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其他项目尾款</w:t>
            </w:r>
          </w:p>
          <w:p>
            <w:pPr>
              <w:widowControl/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值守的续签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5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E7EDA"/>
    <w:multiLevelType w:val="singleLevel"/>
    <w:tmpl w:val="B45E7E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3394A8F"/>
    <w:multiLevelType w:val="singleLevel"/>
    <w:tmpl w:val="C3394A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8E3D887"/>
    <w:multiLevelType w:val="singleLevel"/>
    <w:tmpl w:val="C8E3D8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C7175C7"/>
    <w:multiLevelType w:val="singleLevel"/>
    <w:tmpl w:val="CC7175C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4A5F4C2"/>
    <w:multiLevelType w:val="singleLevel"/>
    <w:tmpl w:val="D4A5F4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9302E15"/>
    <w:multiLevelType w:val="singleLevel"/>
    <w:tmpl w:val="F9302E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39CB670"/>
    <w:multiLevelType w:val="singleLevel"/>
    <w:tmpl w:val="139CB6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1FF1A2DC"/>
    <w:multiLevelType w:val="singleLevel"/>
    <w:tmpl w:val="1FF1A2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084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2BDA"/>
    <w:rsid w:val="00277A58"/>
    <w:rsid w:val="002866E3"/>
    <w:rsid w:val="002A0233"/>
    <w:rsid w:val="002A0AB0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3E7DFE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0F7F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10AD8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145D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D58F8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CF190D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21A67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E14CF"/>
    <w:rsid w:val="00FE3A3D"/>
    <w:rsid w:val="00FE70EF"/>
    <w:rsid w:val="01010EEF"/>
    <w:rsid w:val="013E1FE7"/>
    <w:rsid w:val="030D382D"/>
    <w:rsid w:val="03601477"/>
    <w:rsid w:val="038D04DC"/>
    <w:rsid w:val="04425FE8"/>
    <w:rsid w:val="044A41C4"/>
    <w:rsid w:val="044F1B5A"/>
    <w:rsid w:val="04A160C6"/>
    <w:rsid w:val="051A0D37"/>
    <w:rsid w:val="055A5EB6"/>
    <w:rsid w:val="084E1597"/>
    <w:rsid w:val="08E9418C"/>
    <w:rsid w:val="094A21C9"/>
    <w:rsid w:val="0AC0485D"/>
    <w:rsid w:val="0C524F68"/>
    <w:rsid w:val="0D9D6DB9"/>
    <w:rsid w:val="0F4B79C8"/>
    <w:rsid w:val="1102322D"/>
    <w:rsid w:val="11600ED8"/>
    <w:rsid w:val="116B373B"/>
    <w:rsid w:val="11930FF3"/>
    <w:rsid w:val="12C04F3F"/>
    <w:rsid w:val="13540857"/>
    <w:rsid w:val="135804AC"/>
    <w:rsid w:val="135915A9"/>
    <w:rsid w:val="14772AE1"/>
    <w:rsid w:val="148366B6"/>
    <w:rsid w:val="15350BFC"/>
    <w:rsid w:val="154D103A"/>
    <w:rsid w:val="176574A0"/>
    <w:rsid w:val="17B42DE1"/>
    <w:rsid w:val="17D747DC"/>
    <w:rsid w:val="18D25F6C"/>
    <w:rsid w:val="18E267FA"/>
    <w:rsid w:val="19C84D8B"/>
    <w:rsid w:val="19EA50E7"/>
    <w:rsid w:val="1AFD18C0"/>
    <w:rsid w:val="1B3F4DC5"/>
    <w:rsid w:val="1B56044C"/>
    <w:rsid w:val="1B7725AB"/>
    <w:rsid w:val="1B97509C"/>
    <w:rsid w:val="1C315A92"/>
    <w:rsid w:val="1C8A604D"/>
    <w:rsid w:val="1CAD10DE"/>
    <w:rsid w:val="1CEA5498"/>
    <w:rsid w:val="1D580558"/>
    <w:rsid w:val="1E4B1C0E"/>
    <w:rsid w:val="1E4E5203"/>
    <w:rsid w:val="1E7F62B3"/>
    <w:rsid w:val="1EBD6551"/>
    <w:rsid w:val="1F363EA9"/>
    <w:rsid w:val="1FCA1A88"/>
    <w:rsid w:val="20067F88"/>
    <w:rsid w:val="210967A1"/>
    <w:rsid w:val="21277983"/>
    <w:rsid w:val="212F0E04"/>
    <w:rsid w:val="22724CAC"/>
    <w:rsid w:val="241C12C1"/>
    <w:rsid w:val="24583149"/>
    <w:rsid w:val="24E12D61"/>
    <w:rsid w:val="259C427B"/>
    <w:rsid w:val="25FB6F9B"/>
    <w:rsid w:val="268302C5"/>
    <w:rsid w:val="26885254"/>
    <w:rsid w:val="274E2E0E"/>
    <w:rsid w:val="27953F34"/>
    <w:rsid w:val="28577642"/>
    <w:rsid w:val="29136BD2"/>
    <w:rsid w:val="2A5975F5"/>
    <w:rsid w:val="2ADA66CC"/>
    <w:rsid w:val="2BA36A00"/>
    <w:rsid w:val="2BBA6C0B"/>
    <w:rsid w:val="2C0939E0"/>
    <w:rsid w:val="2CF71D1A"/>
    <w:rsid w:val="2D3E4A76"/>
    <w:rsid w:val="2F605BE8"/>
    <w:rsid w:val="328637AB"/>
    <w:rsid w:val="32D23FEB"/>
    <w:rsid w:val="32FC44FC"/>
    <w:rsid w:val="33B0446E"/>
    <w:rsid w:val="33E14E21"/>
    <w:rsid w:val="34031313"/>
    <w:rsid w:val="342445FD"/>
    <w:rsid w:val="348376F1"/>
    <w:rsid w:val="36D20DE0"/>
    <w:rsid w:val="374C50D0"/>
    <w:rsid w:val="37BD7206"/>
    <w:rsid w:val="3AA5004D"/>
    <w:rsid w:val="3AE80F64"/>
    <w:rsid w:val="3B4C1D4C"/>
    <w:rsid w:val="3BD4370F"/>
    <w:rsid w:val="3BDC7D9D"/>
    <w:rsid w:val="3C3C42F6"/>
    <w:rsid w:val="3D727ADB"/>
    <w:rsid w:val="3DD6601F"/>
    <w:rsid w:val="3DEB7678"/>
    <w:rsid w:val="3E8B1ECA"/>
    <w:rsid w:val="3EA61D70"/>
    <w:rsid w:val="3EAE3F06"/>
    <w:rsid w:val="3F4C65E3"/>
    <w:rsid w:val="419C3EE9"/>
    <w:rsid w:val="42297690"/>
    <w:rsid w:val="42796B56"/>
    <w:rsid w:val="42A71747"/>
    <w:rsid w:val="42D82AD6"/>
    <w:rsid w:val="440004EA"/>
    <w:rsid w:val="44746482"/>
    <w:rsid w:val="45F74206"/>
    <w:rsid w:val="462A08FB"/>
    <w:rsid w:val="46D003ED"/>
    <w:rsid w:val="46D87292"/>
    <w:rsid w:val="46E1274D"/>
    <w:rsid w:val="470F656B"/>
    <w:rsid w:val="4753725B"/>
    <w:rsid w:val="47746647"/>
    <w:rsid w:val="47FA51AF"/>
    <w:rsid w:val="4821269B"/>
    <w:rsid w:val="4849563F"/>
    <w:rsid w:val="48716099"/>
    <w:rsid w:val="48C96106"/>
    <w:rsid w:val="4A0B7006"/>
    <w:rsid w:val="4A0D23DC"/>
    <w:rsid w:val="4C4A434E"/>
    <w:rsid w:val="4DD47666"/>
    <w:rsid w:val="4F271250"/>
    <w:rsid w:val="50A82103"/>
    <w:rsid w:val="51744ECF"/>
    <w:rsid w:val="51B233CE"/>
    <w:rsid w:val="51FD12AF"/>
    <w:rsid w:val="527A416D"/>
    <w:rsid w:val="52E92797"/>
    <w:rsid w:val="531D7ADA"/>
    <w:rsid w:val="53290970"/>
    <w:rsid w:val="53573212"/>
    <w:rsid w:val="536A2117"/>
    <w:rsid w:val="53CE710D"/>
    <w:rsid w:val="54E100B3"/>
    <w:rsid w:val="552971B1"/>
    <w:rsid w:val="565A678F"/>
    <w:rsid w:val="5696457B"/>
    <w:rsid w:val="58302AEB"/>
    <w:rsid w:val="588C14A3"/>
    <w:rsid w:val="589A73F5"/>
    <w:rsid w:val="59335093"/>
    <w:rsid w:val="59B166C6"/>
    <w:rsid w:val="59D04607"/>
    <w:rsid w:val="5B656F25"/>
    <w:rsid w:val="5C09739F"/>
    <w:rsid w:val="5C11169E"/>
    <w:rsid w:val="5C361C4F"/>
    <w:rsid w:val="5DA2637A"/>
    <w:rsid w:val="5E70008C"/>
    <w:rsid w:val="5E8B02E0"/>
    <w:rsid w:val="5F1A3A5A"/>
    <w:rsid w:val="5FD863A9"/>
    <w:rsid w:val="601C0C33"/>
    <w:rsid w:val="60285C26"/>
    <w:rsid w:val="6069075F"/>
    <w:rsid w:val="619447A2"/>
    <w:rsid w:val="6197522A"/>
    <w:rsid w:val="6258405F"/>
    <w:rsid w:val="629A5F2E"/>
    <w:rsid w:val="62E9781B"/>
    <w:rsid w:val="630A5099"/>
    <w:rsid w:val="63B734D4"/>
    <w:rsid w:val="63D80B84"/>
    <w:rsid w:val="64237235"/>
    <w:rsid w:val="650C03C4"/>
    <w:rsid w:val="656C55A1"/>
    <w:rsid w:val="65BE4E7A"/>
    <w:rsid w:val="664B1FB5"/>
    <w:rsid w:val="672A6FD2"/>
    <w:rsid w:val="6776608F"/>
    <w:rsid w:val="67AC49F6"/>
    <w:rsid w:val="67D47D41"/>
    <w:rsid w:val="67EC0217"/>
    <w:rsid w:val="6A030A00"/>
    <w:rsid w:val="6A3C4FD3"/>
    <w:rsid w:val="6B7D28AC"/>
    <w:rsid w:val="6C4A6097"/>
    <w:rsid w:val="6D826D9E"/>
    <w:rsid w:val="6E0A4747"/>
    <w:rsid w:val="6E7079BE"/>
    <w:rsid w:val="6F1D42A4"/>
    <w:rsid w:val="6F314319"/>
    <w:rsid w:val="704111A1"/>
    <w:rsid w:val="71775E53"/>
    <w:rsid w:val="71954552"/>
    <w:rsid w:val="71D83F8B"/>
    <w:rsid w:val="727219A2"/>
    <w:rsid w:val="739861BD"/>
    <w:rsid w:val="73CB51C1"/>
    <w:rsid w:val="75600C7A"/>
    <w:rsid w:val="75E144D0"/>
    <w:rsid w:val="7681180D"/>
    <w:rsid w:val="772D68ED"/>
    <w:rsid w:val="77591C8B"/>
    <w:rsid w:val="795564AA"/>
    <w:rsid w:val="796B6CDE"/>
    <w:rsid w:val="799C3925"/>
    <w:rsid w:val="79BF06C9"/>
    <w:rsid w:val="79D35D90"/>
    <w:rsid w:val="79F005DE"/>
    <w:rsid w:val="7B540EAD"/>
    <w:rsid w:val="7B74416C"/>
    <w:rsid w:val="7B9212A2"/>
    <w:rsid w:val="7B9542A4"/>
    <w:rsid w:val="7C1976A9"/>
    <w:rsid w:val="7D8A22DB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385</Words>
  <Characters>2201</Characters>
  <Lines>18</Lines>
  <Paragraphs>5</Paragraphs>
  <TotalTime>6</TotalTime>
  <ScaleCrop>false</ScaleCrop>
  <LinksUpToDate>false</LinksUpToDate>
  <CharactersWithSpaces>2581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2024-02-06T01:49:06Z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9DAE3C8E05694A859689EAD8EAEB5094</vt:lpwstr>
  </property>
</Properties>
</file>