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/>
          <w:sz w:val="24"/>
        </w:rPr>
      </w:pPr>
    </w:p>
    <w:p>
      <w:pPr>
        <w:jc w:val="center"/>
        <w:rPr>
          <w:rFonts w:ascii="黑体" w:hAnsi="黑体" w:eastAsia="黑体"/>
          <w:sz w:val="52"/>
        </w:rPr>
      </w:pPr>
      <w:r>
        <w:rPr>
          <w:rFonts w:hint="eastAsia" w:ascii="黑体" w:hAnsi="黑体" w:eastAsia="黑体"/>
          <w:sz w:val="52"/>
        </w:rPr>
        <w:t>20</w:t>
      </w:r>
      <w:r>
        <w:rPr>
          <w:rFonts w:ascii="黑体" w:hAnsi="黑体" w:eastAsia="黑体"/>
          <w:sz w:val="52"/>
        </w:rPr>
        <w:t>22</w:t>
      </w:r>
      <w:r>
        <w:rPr>
          <w:rFonts w:hint="eastAsia" w:ascii="黑体" w:hAnsi="黑体" w:eastAsia="黑体"/>
          <w:sz w:val="52"/>
        </w:rPr>
        <w:t>年</w:t>
      </w:r>
      <w:r>
        <w:rPr>
          <w:rFonts w:ascii="黑体" w:hAnsi="黑体" w:eastAsia="黑体"/>
          <w:sz w:val="52"/>
        </w:rPr>
        <w:t>第4</w:t>
      </w:r>
      <w:r>
        <w:rPr>
          <w:rFonts w:hint="eastAsia" w:ascii="黑体" w:hAnsi="黑体" w:eastAsia="黑体"/>
          <w:sz w:val="52"/>
          <w:lang w:val="en-US" w:eastAsia="zh-CN"/>
        </w:rPr>
        <w:t>3</w:t>
      </w:r>
      <w:r>
        <w:rPr>
          <w:rFonts w:ascii="黑体" w:hAnsi="黑体" w:eastAsia="黑体"/>
          <w:sz w:val="52"/>
        </w:rPr>
        <w:t>周</w:t>
      </w:r>
      <w:r>
        <w:rPr>
          <w:rFonts w:hint="eastAsia" w:ascii="黑体" w:hAnsi="黑体" w:eastAsia="黑体"/>
          <w:sz w:val="52"/>
        </w:rPr>
        <w:t>工</w:t>
      </w:r>
      <w:r>
        <w:rPr>
          <w:rFonts w:ascii="黑体" w:hAnsi="黑体" w:eastAsia="黑体"/>
          <w:sz w:val="52"/>
        </w:rPr>
        <w:t>作周报</w:t>
      </w:r>
    </w:p>
    <w:p>
      <w:pPr>
        <w:jc w:val="center"/>
        <w:rPr>
          <w:rFonts w:ascii="黑体" w:hAnsi="黑体" w:eastAsia="黑体"/>
          <w:sz w:val="24"/>
        </w:rPr>
      </w:pPr>
    </w:p>
    <w:tbl>
      <w:tblPr>
        <w:tblStyle w:val="1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869"/>
        <w:gridCol w:w="1496"/>
        <w:gridCol w:w="31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6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numPr>
                <w:ilvl w:val="0"/>
                <w:numId w:val="3"/>
              </w:num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本周服务推广工作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1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 xml:space="preserve">    湖口实施人员保障。    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福建省4.2及运维工作推进。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集团风控续约。</w:t>
            </w:r>
          </w:p>
          <w:p>
            <w:pPr>
              <w:widowControl/>
              <w:ind w:firstLine="560" w:firstLineChars="200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江西省全省标记培训保障工作。</w:t>
            </w:r>
          </w:p>
          <w:p>
            <w:pPr>
              <w:widowControl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1" w:hRule="atLeast"/>
        </w:trPr>
        <w:tc>
          <w:tcPr>
            <w:tcW w:w="8522" w:type="dxa"/>
            <w:gridSpan w:val="3"/>
            <w:shd w:val="clear" w:color="auto" w:fill="auto"/>
            <w:vAlign w:val="center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二、重点大项工作进展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5" w:hRule="atLeast"/>
        </w:trPr>
        <w:tc>
          <w:tcPr>
            <w:tcW w:w="3869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工</w:t>
            </w:r>
            <w:r>
              <w:rPr>
                <w:rFonts w:ascii="仿宋" w:hAnsi="仿宋" w:eastAsia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完成</w:t>
            </w:r>
            <w:r>
              <w:rPr>
                <w:rFonts w:ascii="仿宋" w:hAnsi="仿宋" w:eastAsia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>
            <w:pPr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问</w:t>
            </w:r>
            <w:r>
              <w:rPr>
                <w:rFonts w:ascii="仿宋" w:hAnsi="仿宋" w:eastAsia="仿宋"/>
                <w:b/>
                <w:szCs w:val="21"/>
              </w:rPr>
              <w:t>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8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本周处理的主要服务1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，完成1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49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  <w:r>
              <w:rPr>
                <w:rFonts w:ascii="仿宋" w:hAnsi="仿宋" w:eastAsia="仿宋"/>
                <w:i/>
                <w:color w:val="808080"/>
                <w:sz w:val="28"/>
                <w:szCs w:val="28"/>
              </w:rPr>
              <w:t>100</w:t>
            </w: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4" w:hRule="atLeast"/>
        </w:trPr>
        <w:tc>
          <w:tcPr>
            <w:tcW w:w="3869" w:type="dxa"/>
            <w:shd w:val="clear" w:color="auto" w:fill="auto"/>
          </w:tcPr>
          <w:p>
            <w:pPr>
              <w:ind w:left="420" w:leftChars="200" w:firstLine="5" w:firstLineChars="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>
            <w:pPr>
              <w:ind w:left="420" w:leftChars="200" w:firstLine="145" w:firstLineChars="52"/>
              <w:rPr>
                <w:rFonts w:ascii="仿宋" w:hAnsi="仿宋" w:eastAsia="仿宋"/>
                <w:i/>
                <w:color w:val="80808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3"/>
            <w:shd w:val="clear" w:color="auto" w:fill="auto"/>
          </w:tcPr>
          <w:p>
            <w:pPr>
              <w:rPr>
                <w:sz w:val="28"/>
                <w:szCs w:val="28"/>
              </w:rPr>
            </w:pPr>
            <w:r>
              <w:rPr>
                <w:rFonts w:hint="eastAsia" w:ascii="黑体" w:hAnsi="黑体" w:eastAsia="黑体"/>
                <w:sz w:val="32"/>
              </w:rPr>
              <w:t>三、下周重点保障工作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46" w:hRule="atLeast"/>
        </w:trPr>
        <w:tc>
          <w:tcPr>
            <w:tcW w:w="8522" w:type="dxa"/>
            <w:gridSpan w:val="3"/>
            <w:shd w:val="clear" w:color="auto" w:fill="auto"/>
          </w:tcPr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2G催款开票。</w:t>
            </w:r>
          </w:p>
          <w:p>
            <w:pPr>
              <w:widowControl/>
              <w:ind w:firstLine="560" w:firstLineChars="200"/>
              <w:jc w:val="left"/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2B催款开票续签。</w:t>
            </w:r>
          </w:p>
          <w:p>
            <w:pPr>
              <w:widowControl/>
              <w:ind w:firstLine="560" w:firstLineChars="200"/>
              <w:jc w:val="left"/>
              <w:rPr>
                <w:rFonts w:hint="default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i/>
                <w:color w:val="808080"/>
                <w:sz w:val="28"/>
                <w:szCs w:val="28"/>
                <w:lang w:val="en-US" w:eastAsia="zh-CN"/>
              </w:rPr>
              <w:t>浙江省服务开标。</w:t>
            </w:r>
          </w:p>
        </w:tc>
      </w:tr>
    </w:tbl>
    <w:p>
      <w:pPr>
        <w:wordWrap w:val="0"/>
        <w:ind w:right="560"/>
        <w:jc w:val="center"/>
        <w:rPr>
          <w:rFonts w:ascii="仿宋" w:hAnsi="仿宋" w:eastAsia="仿宋"/>
        </w:rPr>
      </w:pP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ascii="仿宋" w:hAnsi="仿宋" w:eastAsia="仿宋"/>
          <w:sz w:val="28"/>
          <w:szCs w:val="28"/>
        </w:rPr>
        <w:tab/>
      </w:r>
      <w:r>
        <w:rPr>
          <w:rFonts w:hint="eastAsia" w:ascii="仿宋" w:hAnsi="仿宋" w:eastAsia="仿宋"/>
          <w:sz w:val="28"/>
          <w:szCs w:val="28"/>
        </w:rPr>
        <w:t>此处</w:t>
      </w:r>
      <w:r>
        <w:rPr>
          <w:rFonts w:ascii="仿宋" w:hAnsi="仿宋" w:eastAsia="仿宋"/>
          <w:sz w:val="28"/>
          <w:szCs w:val="28"/>
        </w:rPr>
        <w:t xml:space="preserve">填写编制人 </w:t>
      </w:r>
      <w:r>
        <w:rPr>
          <w:rFonts w:hint="eastAsia" w:ascii="仿宋" w:hAnsi="仿宋" w:eastAsia="仿宋"/>
          <w:sz w:val="28"/>
          <w:szCs w:val="28"/>
        </w:rPr>
        <w:t>：</w:t>
      </w:r>
      <w:r>
        <w:rPr>
          <w:rFonts w:ascii="仿宋" w:hAnsi="仿宋" w:eastAsia="仿宋"/>
          <w:sz w:val="28"/>
          <w:szCs w:val="28"/>
        </w:rPr>
        <w:t xml:space="preserve"> </w:t>
      </w:r>
      <w:r>
        <w:rPr>
          <w:rFonts w:hint="eastAsia" w:ascii="仿宋" w:hAnsi="仿宋" w:eastAsia="仿宋"/>
          <w:sz w:val="28"/>
          <w:szCs w:val="28"/>
        </w:rPr>
        <w:t xml:space="preserve">黄于明                           </w:t>
      </w:r>
      <w:r>
        <w:rPr>
          <w:rFonts w:ascii="仿宋" w:hAnsi="仿宋" w:eastAsia="仿宋"/>
          <w:sz w:val="28"/>
          <w:szCs w:val="28"/>
        </w:rPr>
        <w:t xml:space="preserve">   </w:t>
      </w:r>
      <w:r>
        <w:rPr>
          <w:rFonts w:hint="eastAsia" w:ascii="仿宋" w:hAnsi="仿宋" w:eastAsia="仿宋"/>
          <w:sz w:val="28"/>
          <w:szCs w:val="28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</w:rPr>
        <w:t xml:space="preserve"> 2022 </w:t>
      </w:r>
      <w:r>
        <w:rPr>
          <w:rFonts w:hint="eastAsia" w:ascii="仿宋" w:hAnsi="仿宋" w:eastAsia="仿宋"/>
          <w:sz w:val="28"/>
          <w:szCs w:val="28"/>
        </w:rPr>
        <w:t>年</w:t>
      </w:r>
      <w:r>
        <w:rPr>
          <w:rFonts w:ascii="仿宋" w:hAnsi="仿宋" w:eastAsia="仿宋"/>
          <w:sz w:val="28"/>
          <w:szCs w:val="28"/>
          <w:u w:val="single"/>
        </w:rPr>
        <w:t xml:space="preserve"> </w:t>
      </w:r>
      <w:r>
        <w:rPr>
          <w:rFonts w:ascii="仿宋" w:hAnsi="仿宋" w:eastAsia="仿宋"/>
          <w:sz w:val="28"/>
          <w:szCs w:val="28"/>
          <w:u w:val="single"/>
          <w:lang w:val="en-US"/>
        </w:rPr>
        <w:t>1</w:t>
      </w:r>
      <w:r>
        <w:rPr>
          <w:rFonts w:hint="eastAsia" w:ascii="仿宋" w:hAnsi="仿宋" w:eastAsia="仿宋"/>
          <w:sz w:val="28"/>
          <w:szCs w:val="28"/>
          <w:u w:val="single"/>
          <w:lang w:val="en-US" w:eastAsia="zh-CN"/>
        </w:rPr>
        <w:t>1</w:t>
      </w:r>
      <w:r>
        <w:rPr>
          <w:rFonts w:hint="eastAsia" w:ascii="仿宋" w:hAnsi="仿宋" w:eastAsia="仿宋"/>
          <w:sz w:val="28"/>
          <w:szCs w:val="28"/>
        </w:rPr>
        <w:t>月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5</w:t>
      </w: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日</w:t>
      </w:r>
    </w:p>
    <w:sectPr>
      <w:headerReference r:id="rId3" w:type="default"/>
      <w:footerReference r:id="rId4" w:type="default"/>
      <w:pgSz w:w="11906" w:h="16838"/>
      <w:pgMar w:top="779" w:right="1800" w:bottom="1246" w:left="1800" w:header="851" w:footer="611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jc w:val="right"/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828800" cy="209550"/>
          <wp:effectExtent l="0" t="0" r="0" b="0"/>
          <wp:wrapNone/>
          <wp:docPr id="4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1"/>
                  <pic:cNvPicPr>
                    <a:picLocks noChangeAspect="1"/>
                  </pic:cNvPicPr>
                </pic:nvPicPr>
                <pic:blipFill>
                  <a:blip/>
                  <a:srcRect/>
                </pic:blipFill>
                <pic:spPr>
                  <a:xfrm>
                    <a:off x="0" y="0"/>
                    <a:ext cx="1828800" cy="20955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6" name="410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-38100" y="0"/>
                        <a:ext cx="53340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100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DPuFC4zgAAAP8AAAAPAAAAAAAAAAEAIAAAACIAAABkcnMv&#10;ZG93bnJldi54bWxQSwECFAAUAAAACACHTuJAXhcjPtQBAADbAwAADgAAAAAAAAABACAAAAAdAQAA&#10;ZHJzL2Uyb0RvYy54bWxQSwUGAAAAAAYABgBZAQAAYwUAAAAA&#10;">
              <v:fill on="t" focussize="0,0"/>
              <v:stroke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3"/>
    </w:pPr>
  </w:p>
  <w:p>
    <w:pPr>
      <w:pStyle w:val="13"/>
      <w:wordWrap w:val="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4"/>
      <w:pBdr>
        <w:bottom w:val="single" w:color="auto" w:sz="6" w:space="0"/>
      </w:pBdr>
    </w:pPr>
    <w:r>
      <w:rPr>
        <w:sz w:val="20"/>
      </w:rPr>
      <w:drawing>
        <wp:anchor distT="0" distB="0" distL="0" distR="0" simplePos="0" relativeHeight="251659264" behindDoc="0" locked="0" layoutInCell="1" allowOverlap="1">
          <wp:simplePos x="0" y="0"/>
          <wp:positionH relativeFrom="column">
            <wp:posOffset>0</wp:posOffset>
          </wp:positionH>
          <wp:positionV relativeFrom="paragraph">
            <wp:posOffset>0</wp:posOffset>
          </wp:positionV>
          <wp:extent cx="1485900" cy="332740"/>
          <wp:effectExtent l="0" t="0" r="0" b="0"/>
          <wp:wrapTopAndBottom/>
          <wp:docPr id="1" name="Imag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1"/>
                  <pic:cNvPicPr>
                    <a:picLocks noChangeAspect="1"/>
                  </pic:cNvPicPr>
                </pic:nvPicPr>
                <pic:blipFill>
                  <a:blip r:embed="rId1" cstate="print"/>
                  <a:srcRect/>
                </pic:blipFill>
                <pic:spPr>
                  <a:xfrm>
                    <a:off x="0" y="0"/>
                    <a:ext cx="1485900" cy="332740"/>
                  </a:xfrm>
                  <a:prstGeom prst="rect">
                    <a:avLst/>
                  </a:prstGeom>
                  <a:ln w="12700">
                    <a:noFill/>
                  </a:ln>
                </pic:spPr>
              </pic:pic>
            </a:graphicData>
          </a:graphic>
        </wp:anchor>
      </w:drawing>
    </w:r>
  </w:p>
  <w:p>
    <w:pPr>
      <w:pStyle w:val="14"/>
      <w:pBdr>
        <w:bottom w:val="single" w:color="auto" w:sz="6" w:space="0"/>
      </w:pBdr>
      <w:jc w:val="right"/>
    </w:pPr>
    <w:r>
      <w:rPr>
        <w:sz w:val="20"/>
      </w:rPr>
      <mc:AlternateContent>
        <mc:Choice Requires="wps">
          <w:drawing>
            <wp:anchor distT="0" distB="0" distL="0" distR="0" simplePos="0" relativeHeight="251660288" behindDoc="0" locked="0" layoutInCell="1" allowOverlap="1">
              <wp:simplePos x="0" y="0"/>
              <wp:positionH relativeFrom="column">
                <wp:posOffset>0</wp:posOffset>
              </wp:positionH>
              <wp:positionV relativeFrom="paragraph">
                <wp:posOffset>0</wp:posOffset>
              </wp:positionV>
              <wp:extent cx="0" cy="0"/>
              <wp:effectExtent l="0" t="0" r="0" b="0"/>
              <wp:wrapNone/>
              <wp:docPr id="3" name="4098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457200" y="76200"/>
                        <a:ext cx="4800600" cy="12700"/>
                      </a:xfrm>
                      <a:prstGeom prst="line">
                        <a:avLst/>
                      </a:prstGeom>
                      <a:solidFill>
                        <a:srgbClr val="FFFFFF"/>
                      </a:solidFill>
                      <a:ln w="12700">
                        <a:solidFill>
                          <a:srgbClr val="000000"/>
                        </a:solidFill>
                      </a:ln>
                    </wps:spPr>
                    <wps:bodyPr rot="0" vert="horz" wrap="square" lIns="0" tIns="0" rIns="0" bIns="0" anchor="t" anchorCtr="0"/>
                  </wps:wsp>
                </a:graphicData>
              </a:graphic>
            </wp:anchor>
          </w:drawing>
        </mc:Choice>
        <mc:Fallback>
          <w:pict>
            <v:line id="4098" o:spid="_x0000_s1026" o:spt="20" style="position:absolute;left:0pt;margin-left:0pt;margin-top:0pt;height:0pt;width:0pt;z-index:251660288;mso-width-relative:page;mso-height-relative:page;" fillcolor="#FFFFFF" filled="t" stroked="t" coordsize="21600,21600" o:gfxdata="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">
              <v:fill on="t" focussize="0,0"/>
              <v:stroke weight="1pt" color="#000000" joinstyle="round"/>
              <v:imagedata o:title=""/>
              <o:lock v:ext="edit" aspectratio="f"/>
            </v:line>
          </w:pict>
        </mc:Fallback>
      </mc:AlternateContent>
    </w:r>
  </w:p>
  <w:p>
    <w:pPr>
      <w:pStyle w:val="14"/>
      <w:pBdr>
        <w:bottom w:val="single" w:color="auto" w:sz="6" w:space="0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000000"/>
    <w:multiLevelType w:val="singleLevel"/>
    <w:tmpl w:val="00000000"/>
    <w:lvl w:ilvl="0" w:tentative="0">
      <w:start w:val="1"/>
      <w:numFmt w:val="bullet"/>
      <w:pStyle w:val="12"/>
      <w:lvlText w:val=""/>
      <w:lvlJc w:val="left"/>
      <w:pPr>
        <w:tabs>
          <w:tab w:val="left" w:pos="360"/>
        </w:tabs>
        <w:ind w:left="360" w:hanging="360" w:hangingChars="200"/>
      </w:pPr>
      <w:rPr>
        <w:rFonts w:hint="default" w:ascii="Wingdings" w:hAnsi="Wingdings"/>
      </w:rPr>
    </w:lvl>
  </w:abstractNum>
  <w:abstractNum w:abstractNumId="1">
    <w:nsid w:val="00000001"/>
    <w:multiLevelType w:val="multilevel"/>
    <w:tmpl w:val="00000001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 w:ascii="黑体" w:hAnsi="黑体" w:eastAsia="黑体"/>
        <w:sz w:val="32"/>
      </w:rPr>
    </w:lvl>
    <w:lvl w:ilvl="1" w:tentative="0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0000002"/>
    <w:multiLevelType w:val="multilevel"/>
    <w:tmpl w:val="00000002"/>
    <w:lvl w:ilvl="0" w:tentative="0">
      <w:start w:val="1"/>
      <w:numFmt w:val="decimal"/>
      <w:pStyle w:val="2"/>
      <w:lvlText w:val="%1"/>
      <w:lvlJc w:val="left"/>
      <w:pPr>
        <w:tabs>
          <w:tab w:val="left" w:pos="432"/>
        </w:tabs>
        <w:ind w:left="432" w:hanging="432"/>
      </w:pPr>
    </w:lvl>
    <w:lvl w:ilvl="1" w:tentative="0">
      <w:start w:val="1"/>
      <w:numFmt w:val="decimal"/>
      <w:pStyle w:val="3"/>
      <w:lvlText w:val="%1.%2"/>
      <w:lvlJc w:val="left"/>
      <w:pPr>
        <w:tabs>
          <w:tab w:val="left" w:pos="576"/>
        </w:tabs>
        <w:ind w:left="576" w:hanging="576"/>
      </w:pPr>
    </w:lvl>
    <w:lvl w:ilvl="2" w:tentative="0">
      <w:start w:val="1"/>
      <w:numFmt w:val="decimal"/>
      <w:pStyle w:val="4"/>
      <w:lvlText w:val="%1.%2.%3"/>
      <w:lvlJc w:val="left"/>
      <w:pPr>
        <w:tabs>
          <w:tab w:val="left" w:pos="720"/>
        </w:tabs>
        <w:ind w:left="720" w:hanging="720"/>
      </w:pPr>
    </w:lvl>
    <w:lvl w:ilvl="3" w:tentative="0">
      <w:start w:val="1"/>
      <w:numFmt w:val="decimal"/>
      <w:pStyle w:val="5"/>
      <w:lvlText w:val="%1.%2.%3.%4"/>
      <w:lvlJc w:val="left"/>
      <w:pPr>
        <w:tabs>
          <w:tab w:val="left" w:pos="864"/>
        </w:tabs>
        <w:ind w:left="864" w:hanging="864"/>
      </w:pPr>
    </w:lvl>
    <w:lvl w:ilvl="4" w:tentative="0">
      <w:start w:val="1"/>
      <w:numFmt w:val="decimal"/>
      <w:pStyle w:val="6"/>
      <w:lvlText w:val="%1.%2.%3.%4.%5"/>
      <w:lvlJc w:val="left"/>
      <w:pPr>
        <w:tabs>
          <w:tab w:val="left" w:pos="1008"/>
        </w:tabs>
        <w:ind w:left="1008" w:hanging="1008"/>
      </w:pPr>
    </w:lvl>
    <w:lvl w:ilvl="5" w:tentative="0">
      <w:start w:val="1"/>
      <w:numFmt w:val="decimal"/>
      <w:pStyle w:val="7"/>
      <w:lvlText w:val="%1.%2.%3.%4.%5.%6"/>
      <w:lvlJc w:val="left"/>
      <w:pPr>
        <w:tabs>
          <w:tab w:val="left" w:pos="1152"/>
        </w:tabs>
        <w:ind w:left="1152" w:hanging="1152"/>
      </w:pPr>
    </w:lvl>
    <w:lvl w:ilvl="6" w:tentative="0">
      <w:start w:val="1"/>
      <w:numFmt w:val="decimal"/>
      <w:pStyle w:val="8"/>
      <w:lvlText w:val="%1.%2.%3.%4.%5.%6.%7"/>
      <w:lvlJc w:val="left"/>
      <w:pPr>
        <w:tabs>
          <w:tab w:val="left" w:pos="1296"/>
        </w:tabs>
        <w:ind w:left="1296" w:hanging="1296"/>
      </w:pPr>
    </w:lvl>
    <w:lvl w:ilvl="7" w:tentative="0">
      <w:start w:val="1"/>
      <w:numFmt w:val="decimal"/>
      <w:pStyle w:val="9"/>
      <w:lvlText w:val="%1.%2.%3.%4.%5.%6.%7.%8"/>
      <w:lvlJc w:val="left"/>
      <w:pPr>
        <w:tabs>
          <w:tab w:val="left" w:pos="1440"/>
        </w:tabs>
        <w:ind w:left="1440" w:hanging="1440"/>
      </w:pPr>
    </w:lvl>
    <w:lvl w:ilvl="8" w:tentative="0">
      <w:start w:val="1"/>
      <w:numFmt w:val="decimal"/>
      <w:pStyle w:val="10"/>
      <w:lvlText w:val="%1.%2.%3.%4.%5.%6.%7.%8.%9"/>
      <w:lvlJc w:val="left"/>
      <w:pPr>
        <w:tabs>
          <w:tab w:val="left" w:pos="1584"/>
        </w:tabs>
        <w:ind w:left="1584" w:hanging="1584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4"/>
  <w:documentProtection w:enforcement="0"/>
  <w:defaultTabStop w:val="425"/>
  <w:drawingGridVerticalSpacing w:val="156"/>
  <w:displayHorizontalDrawingGridEvery w:val="1"/>
  <w:displayVerticalDrawingGridEvery w:val="1"/>
  <w:characterSpacingControl w:val="compressPunctuation"/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1"/>
  </w:compat>
  <w:docVars>
    <w:docVar w:name="commondata" w:val="eyJoZGlkIjoiMWQxYTdiYTk1OGJjMDEwNWJiOWQ1MzgzMzE3YjEzOGQifQ=="/>
  </w:docVars>
  <w:rsids>
    <w:rsidRoot w:val="00000000"/>
    <w:rsid w:val="1299519E"/>
    <w:rsid w:val="15741145"/>
    <w:rsid w:val="1EB21C7A"/>
    <w:rsid w:val="26242DCC"/>
    <w:rsid w:val="2A5C3B0A"/>
    <w:rsid w:val="2E6A13DB"/>
    <w:rsid w:val="37196969"/>
    <w:rsid w:val="6DD37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nhideWhenUsed="0" w:uiPriority="0" w:semiHidden="0" w:name="heading 7"/>
    <w:lsdException w:qFormat="1" w:unhideWhenUsed="0" w:uiPriority="0" w:semiHidden="0" w:name="heading 8"/>
    <w:lsdException w:qFormat="1" w:unhideWhenUsed="0" w:uiPriority="0" w:semiHidden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qFormat="1"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9"/>
    <w:qFormat/>
    <w:uiPriority w:val="9"/>
    <w:pPr>
      <w:keepNext/>
      <w:keepLines/>
      <w:numPr>
        <w:ilvl w:val="0"/>
        <w:numId w:val="1"/>
      </w:numPr>
      <w:spacing w:before="120" w:beforeAutospacing="0" w:afterAutospacing="0" w:line="360" w:lineRule="auto"/>
      <w:outlineLvl w:val="0"/>
    </w:pPr>
    <w:rPr>
      <w:b/>
      <w:bCs/>
      <w:kern w:val="44"/>
      <w:sz w:val="28"/>
      <w:szCs w:val="44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120" w:beforeAutospacing="0" w:afterAutospacing="0" w:line="360" w:lineRule="auto"/>
      <w:outlineLvl w:val="1"/>
    </w:pPr>
    <w:rPr>
      <w:rFonts w:ascii="Arial" w:hAnsi="Arial"/>
      <w:bCs/>
      <w:szCs w:val="32"/>
    </w:rPr>
  </w:style>
  <w:style w:type="paragraph" w:styleId="4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="120" w:beforeAutospacing="0" w:afterAutospacing="0" w:line="360" w:lineRule="auto"/>
      <w:outlineLvl w:val="2"/>
    </w:pPr>
    <w:rPr>
      <w:bCs/>
      <w:szCs w:val="32"/>
    </w:rPr>
  </w:style>
  <w:style w:type="paragraph" w:styleId="5">
    <w:name w:val="heading 4"/>
    <w:basedOn w:val="1"/>
    <w:next w:val="1"/>
    <w:qFormat/>
    <w:uiPriority w:val="0"/>
    <w:pPr>
      <w:keepNext/>
      <w:keepLines/>
      <w:numPr>
        <w:ilvl w:val="3"/>
        <w:numId w:val="1"/>
      </w:numPr>
      <w:spacing w:before="120" w:beforeAutospacing="0" w:afterAutospacing="0" w:line="360" w:lineRule="auto"/>
      <w:outlineLvl w:val="3"/>
    </w:pPr>
    <w:rPr>
      <w:rFonts w:ascii="Arial" w:hAnsi="Arial"/>
      <w:bCs/>
      <w:szCs w:val="28"/>
    </w:rPr>
  </w:style>
  <w:style w:type="paragraph" w:styleId="6">
    <w:name w:val="heading 5"/>
    <w:basedOn w:val="1"/>
    <w:next w:val="1"/>
    <w:qFormat/>
    <w:uiPriority w:val="0"/>
    <w:pPr>
      <w:keepNext/>
      <w:keepLines/>
      <w:numPr>
        <w:ilvl w:val="4"/>
        <w:numId w:val="1"/>
      </w:numPr>
      <w:spacing w:before="120" w:beforeAutospacing="0" w:afterAutospacing="0" w:line="360" w:lineRule="auto"/>
      <w:outlineLvl w:val="4"/>
    </w:pPr>
    <w:rPr>
      <w:bCs/>
      <w:szCs w:val="28"/>
    </w:rPr>
  </w:style>
  <w:style w:type="paragraph" w:styleId="7">
    <w:name w:val="heading 6"/>
    <w:basedOn w:val="1"/>
    <w:next w:val="1"/>
    <w:qFormat/>
    <w:uiPriority w:val="0"/>
    <w:pPr>
      <w:keepNext/>
      <w:keepLines/>
      <w:numPr>
        <w:ilvl w:val="5"/>
        <w:numId w:val="1"/>
      </w:numPr>
      <w:spacing w:before="120" w:beforeAutospacing="0" w:afterAutospacing="0" w:line="360" w:lineRule="auto"/>
      <w:outlineLvl w:val="5"/>
    </w:pPr>
    <w:rPr>
      <w:rFonts w:ascii="Arial" w:hAnsi="Arial"/>
      <w:bCs/>
      <w:szCs w:val="24"/>
    </w:rPr>
  </w:style>
  <w:style w:type="paragraph" w:styleId="8">
    <w:name w:val="heading 7"/>
    <w:basedOn w:val="1"/>
    <w:next w:val="1"/>
    <w:qFormat/>
    <w:uiPriority w:val="0"/>
    <w:pPr>
      <w:keepNext/>
      <w:keepLines/>
      <w:numPr>
        <w:ilvl w:val="6"/>
        <w:numId w:val="1"/>
      </w:numPr>
      <w:spacing w:before="120" w:beforeAutospacing="0" w:afterAutospacing="0" w:line="360" w:lineRule="auto"/>
      <w:outlineLvl w:val="6"/>
    </w:pPr>
    <w:rPr>
      <w:bCs/>
      <w:szCs w:val="24"/>
    </w:rPr>
  </w:style>
  <w:style w:type="paragraph" w:styleId="9">
    <w:name w:val="heading 8"/>
    <w:basedOn w:val="1"/>
    <w:next w:val="1"/>
    <w:qFormat/>
    <w:uiPriority w:val="0"/>
    <w:pPr>
      <w:keepNext/>
      <w:keepLines/>
      <w:numPr>
        <w:ilvl w:val="7"/>
        <w:numId w:val="1"/>
      </w:numPr>
      <w:spacing w:before="120" w:beforeAutospacing="0" w:afterAutospacing="0" w:line="360" w:lineRule="auto"/>
      <w:outlineLvl w:val="7"/>
    </w:pPr>
    <w:rPr>
      <w:rFonts w:ascii="Arial" w:hAnsi="Arial"/>
      <w:szCs w:val="24"/>
    </w:rPr>
  </w:style>
  <w:style w:type="paragraph" w:styleId="10">
    <w:name w:val="heading 9"/>
    <w:basedOn w:val="1"/>
    <w:next w:val="1"/>
    <w:qFormat/>
    <w:uiPriority w:val="0"/>
    <w:pPr>
      <w:keepNext/>
      <w:keepLines/>
      <w:numPr>
        <w:ilvl w:val="8"/>
        <w:numId w:val="1"/>
      </w:numPr>
      <w:spacing w:before="120" w:beforeAutospacing="0" w:afterAutospacing="0" w:line="360" w:lineRule="auto"/>
      <w:outlineLvl w:val="8"/>
    </w:pPr>
    <w:rPr>
      <w:rFonts w:ascii="Arial" w:hAnsi="Arial"/>
      <w:szCs w:val="21"/>
    </w:rPr>
  </w:style>
  <w:style w:type="character" w:default="1" w:styleId="18">
    <w:name w:val="Default Paragraph Font"/>
    <w:qFormat/>
    <w:uiPriority w:val="1"/>
  </w:style>
  <w:style w:type="table" w:default="1" w:styleId="16">
    <w:name w:val="Normal Table"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Normal Indent"/>
    <w:basedOn w:val="1"/>
    <w:qFormat/>
    <w:uiPriority w:val="0"/>
    <w:pPr>
      <w:ind w:firstLine="200" w:firstLineChars="200"/>
    </w:pPr>
  </w:style>
  <w:style w:type="paragraph" w:styleId="12">
    <w:name w:val="List Bullet"/>
    <w:basedOn w:val="1"/>
    <w:qFormat/>
    <w:uiPriority w:val="0"/>
    <w:pPr>
      <w:numPr>
        <w:ilvl w:val="0"/>
        <w:numId w:val="2"/>
      </w:numPr>
      <w:tabs>
        <w:tab w:val="clear" w:pos="360"/>
      </w:tabs>
      <w:ind w:left="420" w:hanging="420"/>
    </w:pPr>
  </w:style>
  <w:style w:type="paragraph" w:styleId="1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4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5">
    <w:name w:val="Title"/>
    <w:basedOn w:val="1"/>
    <w:qFormat/>
    <w:uiPriority w:val="0"/>
    <w:pPr>
      <w:spacing w:before="120" w:beforeAutospacing="0" w:afterAutospacing="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table" w:styleId="17">
    <w:name w:val="Table Grid"/>
    <w:basedOn w:val="16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19">
    <w:name w:val="标题 1 字符"/>
    <w:link w:val="2"/>
    <w:qFormat/>
    <w:uiPriority w:val="9"/>
    <w:rPr>
      <w:b/>
      <w:bCs/>
      <w:kern w:val="44"/>
      <w:sz w:val="28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satMod val="300000"/>
                <a:tint val="50000"/>
              </a:schemeClr>
            </a:gs>
            <a:gs pos="35000">
              <a:schemeClr val="phClr">
                <a:satMod val="300000"/>
                <a:tint val="37000"/>
              </a:schemeClr>
            </a:gs>
            <a:gs pos="100000">
              <a:schemeClr val="phClr">
                <a:satMod val="350000"/>
                <a:tint val="15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atMod val="130000"/>
                <a:shade val="51000"/>
              </a:schemeClr>
            </a:gs>
            <a:gs pos="80000">
              <a:schemeClr val="phClr">
                <a:satMod val="130000"/>
                <a:shade val="93000"/>
              </a:schemeClr>
            </a:gs>
            <a:gs pos="100000">
              <a:schemeClr val="phClr">
                <a:satMod val="135000"/>
                <a:shade val="94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05000"/>
              <a:shade val="9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atMod val="350000"/>
                <a:tint val="40000"/>
              </a:schemeClr>
            </a:gs>
            <a:gs pos="40000">
              <a:schemeClr val="phClr">
                <a:satMod val="350000"/>
                <a:shade val="99000"/>
                <a:tint val="45000"/>
              </a:schemeClr>
            </a:gs>
            <a:gs pos="100000">
              <a:schemeClr val="phClr">
                <a:satMod val="255000"/>
                <a:shade val="20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satMod val="300000"/>
                <a:tint val="80000"/>
              </a:schemeClr>
            </a:gs>
            <a:gs pos="100000">
              <a:schemeClr val="phClr">
                <a:satMod val="200000"/>
                <a:shade val="3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Company>JointSky</Company>
  <Pages>1</Pages>
  <Words>122</Words>
  <Characters>140</Characters>
  <Lines>0</Lines>
  <Paragraphs>52</Paragraphs>
  <TotalTime>18</TotalTime>
  <ScaleCrop>false</ScaleCrop>
  <LinksUpToDate>false</LinksUpToDate>
  <CharactersWithSpaces>193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2022-10-22T00:29:00Z</dcterms:created>
  <dc:creator>Joy</dc:creator>
  <cp:lastModifiedBy>Joy</cp:lastModifiedBy>
  <dcterms:modified xsi:type="dcterms:W3CDTF">2022-11-05T00:12:20Z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02212E4CAA614D2FBF6774699D008770</vt:lpwstr>
  </property>
</Properties>
</file>