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highlight w:val="none"/>
                <w:lang w:val="en-US" w:eastAsia="zh-CN"/>
              </w:rPr>
            </w:pPr>
            <w:r>
              <w:rPr>
                <w:b/>
              </w:rPr>
              <w:t>上周遗留：</w:t>
            </w:r>
            <w:r>
              <w:br w:type="textWrapping"/>
            </w:r>
            <w:r>
              <w:rPr>
                <w:rFonts w:hint="eastAsia"/>
                <w:lang w:val="en-US" w:eastAsia="zh-CN"/>
              </w:rPr>
              <w:t>1、青海省厅1人，已拒绝；</w:t>
            </w:r>
          </w:p>
          <w:p>
            <w:pPr>
              <w:numPr>
                <w:ilvl w:val="0"/>
                <w:numId w:val="4"/>
              </w:numPr>
              <w:autoSpaceDE w:val="0"/>
              <w:autoSpaceDN w:val="0"/>
              <w:adjustRightInd w:val="0"/>
              <w:ind w:left="420" w:leftChars="200"/>
              <w:jc w:val="left"/>
              <w:rPr>
                <w:rFonts w:hint="default"/>
                <w:highlight w:val="none"/>
                <w:lang w:val="en-US" w:eastAsia="zh-CN"/>
              </w:rPr>
            </w:pPr>
            <w:r>
              <w:rPr>
                <w:rFonts w:hint="eastAsia"/>
                <w:highlight w:val="none"/>
                <w:lang w:val="en-US" w:eastAsia="zh-CN"/>
              </w:rPr>
              <w:t>九江湖口肖帅面试通过已推送人力，薪资已谈，等8月15日候选人回复；</w:t>
            </w:r>
          </w:p>
          <w:p>
            <w:pPr>
              <w:numPr>
                <w:ilvl w:val="0"/>
                <w:numId w:val="4"/>
              </w:numPr>
              <w:autoSpaceDE w:val="0"/>
              <w:autoSpaceDN w:val="0"/>
              <w:adjustRightInd w:val="0"/>
              <w:ind w:left="420" w:leftChars="200"/>
              <w:jc w:val="left"/>
              <w:rPr>
                <w:rFonts w:hint="default"/>
                <w:highlight w:val="none"/>
                <w:lang w:val="en-US" w:eastAsia="zh-CN"/>
              </w:rPr>
            </w:pPr>
            <w:r>
              <w:rPr>
                <w:rFonts w:hint="eastAsia"/>
                <w:highlight w:val="none"/>
                <w:lang w:val="en-US" w:eastAsia="zh-CN"/>
              </w:rPr>
              <w:t>本部应届生储备1人，候选人不考虑我们了。</w:t>
            </w:r>
          </w:p>
          <w:p>
            <w:pPr>
              <w:autoSpaceDE w:val="0"/>
              <w:autoSpaceDN w:val="0"/>
              <w:adjustRightInd w:val="0"/>
              <w:ind w:left="420" w:leftChars="200"/>
              <w:jc w:val="left"/>
            </w:pPr>
            <w:r>
              <w:rPr>
                <w:b/>
              </w:rPr>
              <w:t>本周推荐：</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呼和浩特1人，下周二8月2日入职；</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咸阳1人，下周二8月2日入职；</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1人，福建省厅李鹏程本周一入职。</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上栗县严江博转正暂缓。</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离职1人，厦门黄常铮</w:t>
            </w:r>
          </w:p>
          <w:p>
            <w:pPr>
              <w:ind w:left="200" w:firstLine="210" w:firstLineChars="100"/>
              <w:rPr>
                <w:rFonts w:hint="default" w:eastAsia="宋体"/>
                <w:lang w:val="en-US" w:eastAsia="zh-CN"/>
              </w:rPr>
            </w:pPr>
            <w:r>
              <w:rPr>
                <w:rFonts w:hint="eastAsia"/>
                <w:lang w:val="en-US" w:eastAsia="zh-CN"/>
              </w:rPr>
              <w:t>待离职5人：吉安王璐（8月5日）、金湾区钟晓燕、赵燕玲（8月4日）、宁夏张宏杉（8月）、咸阳吕哲（8月17日）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0"/>
              </w:numPr>
              <w:rPr>
                <w:rFonts w:hint="default" w:eastAsia="宋体"/>
                <w:highlight w:val="yellow"/>
                <w:lang w:val="en-US" w:eastAsia="zh-CN"/>
              </w:rPr>
            </w:pPr>
            <w:r>
              <w:rPr>
                <w:rFonts w:hint="eastAsia"/>
                <w:highlight w:val="yellow"/>
                <w:lang w:val="en-US" w:eastAsia="zh-CN"/>
              </w:rPr>
              <w:t>单独发送</w:t>
            </w:r>
            <w:bookmarkStart w:id="0" w:name="_GoBack"/>
            <w:bookmarkEnd w:id="0"/>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1.出差黑龙江哈尔滨为光大哈电环保能源（哈尔滨）有限公司培训。</w:t>
            </w:r>
            <w:r>
              <w:rPr>
                <w:rFonts w:ascii="宋体" w:hAnsi="宋体" w:eastAsia="宋体" w:cs="宋体"/>
                <w:sz w:val="21"/>
                <w:szCs w:val="21"/>
              </w:rPr>
              <w:br w:type="textWrapping"/>
            </w:r>
            <w:r>
              <w:rPr>
                <w:rFonts w:ascii="宋体" w:hAnsi="宋体" w:eastAsia="宋体" w:cs="宋体"/>
                <w:sz w:val="21"/>
                <w:szCs w:val="21"/>
              </w:rPr>
              <w:t>2.下周出差广东中山为中山长青环保进行培训的差前准备工作。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1.孝感市污染源自动监控平台运维、自动监控设施现场监督检查技术服务及部分重点排污单位用电监控设施建设项目标书</w:t>
            </w:r>
            <w:r>
              <w:rPr>
                <w:rFonts w:hint="eastAsia" w:ascii="宋体" w:hAnsi="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2.光大绿色环保城乡再生能源(丰县)有限公司烟气在线自动监控远程值守服务标书审核</w:t>
            </w:r>
            <w:r>
              <w:rPr>
                <w:rFonts w:hint="eastAsia" w:ascii="宋体" w:hAnsi="宋体" w:cs="宋体"/>
                <w:sz w:val="21"/>
                <w:szCs w:val="21"/>
                <w:lang w:eastAsia="zh-CN"/>
              </w:rPr>
              <w:t>。</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本周评审19份，其中服务运营部2G合同2份（35.9w），2B合同21份（49.77w）；本周服务运营部新增合同额85.67W,截止本周服务运营共签订合同3329.61W,年度任务目标完成率47.57%</w:t>
            </w:r>
            <w:r>
              <w:rPr>
                <w:rFonts w:ascii="宋体" w:hAnsi="宋体" w:eastAsia="宋体" w:cs="宋体"/>
                <w:sz w:val="21"/>
                <w:szCs w:val="21"/>
              </w:rPr>
              <w:br w:type="textWrapping"/>
            </w:r>
            <w:r>
              <w:rPr>
                <w:rFonts w:ascii="宋体" w:hAnsi="宋体" w:eastAsia="宋体" w:cs="宋体"/>
                <w:sz w:val="21"/>
                <w:szCs w:val="21"/>
              </w:rPr>
              <w:t>段尧</w:t>
            </w:r>
            <w:r>
              <w:rPr>
                <w:rFonts w:ascii="宋体" w:hAnsi="宋体" w:eastAsia="宋体" w:cs="宋体"/>
                <w:sz w:val="21"/>
                <w:szCs w:val="21"/>
              </w:rPr>
              <w:br w:type="textWrapping"/>
            </w:r>
            <w:r>
              <w:rPr>
                <w:rFonts w:ascii="宋体" w:hAnsi="宋体" w:eastAsia="宋体" w:cs="宋体"/>
                <w:sz w:val="21"/>
                <w:szCs w:val="21"/>
              </w:rPr>
              <w:t>运城市生态环境局重点污染源自动监控数据分析 30.9W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数采仪销售2台（辽宁格林云科-公主岭德联生物质） 4.2W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数采仪升级（成都德锦源科技有限公司） 0.6W</w:t>
            </w:r>
            <w:r>
              <w:rPr>
                <w:rFonts w:ascii="宋体" w:hAnsi="宋体" w:eastAsia="宋体" w:cs="宋体"/>
                <w:sz w:val="21"/>
                <w:szCs w:val="21"/>
              </w:rPr>
              <w:br w:type="textWrapping"/>
            </w:r>
            <w:r>
              <w:rPr>
                <w:rFonts w:ascii="宋体" w:hAnsi="宋体" w:eastAsia="宋体" w:cs="宋体"/>
                <w:sz w:val="21"/>
                <w:szCs w:val="21"/>
              </w:rPr>
              <w:t>何功斌</w:t>
            </w:r>
            <w:r>
              <w:rPr>
                <w:rFonts w:ascii="宋体" w:hAnsi="宋体" w:eastAsia="宋体" w:cs="宋体"/>
                <w:sz w:val="21"/>
                <w:szCs w:val="21"/>
              </w:rPr>
              <w:br w:type="textWrapping"/>
            </w:r>
            <w:r>
              <w:rPr>
                <w:rFonts w:ascii="宋体" w:hAnsi="宋体" w:eastAsia="宋体" w:cs="宋体"/>
                <w:sz w:val="21"/>
                <w:szCs w:val="21"/>
              </w:rPr>
              <w:t>2022年1月-5月平凉市生态环境局华亭分局污染源自动监控系统技术服务合同  0.5W</w:t>
            </w:r>
            <w:r>
              <w:rPr>
                <w:rFonts w:ascii="宋体" w:hAnsi="宋体" w:eastAsia="宋体" w:cs="宋体"/>
                <w:sz w:val="21"/>
                <w:szCs w:val="21"/>
              </w:rPr>
              <w:br w:type="textWrapping"/>
            </w:r>
            <w:r>
              <w:rPr>
                <w:rFonts w:ascii="宋体" w:hAnsi="宋体" w:eastAsia="宋体" w:cs="宋体"/>
                <w:sz w:val="21"/>
                <w:szCs w:val="21"/>
              </w:rPr>
              <w:t>2022年1月-5月平凉市生态环境局崇信分局污染源自动监控系统技术服务合同  0.5W</w:t>
            </w:r>
            <w:r>
              <w:rPr>
                <w:rFonts w:ascii="宋体" w:hAnsi="宋体" w:eastAsia="宋体" w:cs="宋体"/>
                <w:sz w:val="21"/>
                <w:szCs w:val="21"/>
              </w:rPr>
              <w:br w:type="textWrapping"/>
            </w:r>
            <w:r>
              <w:rPr>
                <w:rFonts w:ascii="宋体" w:hAnsi="宋体" w:eastAsia="宋体" w:cs="宋体"/>
                <w:sz w:val="21"/>
                <w:szCs w:val="21"/>
              </w:rPr>
              <w:t>2022-2025年平凉市生态环境局华亭分局污染源自动监控系统技术服务合同   7.8W</w:t>
            </w:r>
            <w:r>
              <w:rPr>
                <w:rFonts w:ascii="宋体" w:hAnsi="宋体" w:eastAsia="宋体" w:cs="宋体"/>
                <w:sz w:val="21"/>
                <w:szCs w:val="21"/>
              </w:rPr>
              <w:br w:type="textWrapping"/>
            </w:r>
            <w:r>
              <w:rPr>
                <w:rFonts w:ascii="宋体" w:hAnsi="宋体" w:eastAsia="宋体" w:cs="宋体"/>
                <w:sz w:val="21"/>
                <w:szCs w:val="21"/>
              </w:rPr>
              <w:t>2022-2025年平凉市生态环境局崇信分局污染源自动监控系统技术服务合同   7.8W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二期烟气两台数采仪进行泉州协议技术升级（瀚蓝（晋江）固废处理有限公司） 1.07W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企业环保365（广州环投福山环保能源有限公司） 11.76W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数采仪销售一台（新泰德润-光大蓝田）  2.5W</w:t>
            </w:r>
            <w:r>
              <w:rPr>
                <w:rFonts w:ascii="宋体" w:hAnsi="宋体" w:eastAsia="宋体" w:cs="宋体"/>
                <w:sz w:val="21"/>
                <w:szCs w:val="21"/>
              </w:rPr>
              <w:br w:type="textWrapping"/>
            </w:r>
            <w:r>
              <w:rPr>
                <w:rFonts w:ascii="宋体" w:hAnsi="宋体" w:eastAsia="宋体" w:cs="宋体"/>
                <w:sz w:val="21"/>
                <w:szCs w:val="21"/>
              </w:rPr>
              <w:t>企业环保365（西咸新区金源水务有限公司）续 0.98W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企业环保365（周口海创环境能源有限责任公司）0.98W</w:t>
            </w:r>
            <w:r>
              <w:rPr>
                <w:rFonts w:ascii="宋体" w:hAnsi="宋体" w:eastAsia="宋体" w:cs="宋体"/>
                <w:sz w:val="21"/>
                <w:szCs w:val="21"/>
              </w:rPr>
              <w:br w:type="textWrapping"/>
            </w:r>
            <w:r>
              <w:rPr>
                <w:rFonts w:ascii="宋体" w:hAnsi="宋体" w:eastAsia="宋体" w:cs="宋体"/>
                <w:sz w:val="21"/>
                <w:szCs w:val="21"/>
              </w:rPr>
              <w:t>企业环保365（光大城乡再生能源（社旗）有限公司）续 2.94W</w:t>
            </w:r>
            <w:r>
              <w:rPr>
                <w:rFonts w:ascii="宋体" w:hAnsi="宋体" w:eastAsia="宋体" w:cs="宋体"/>
                <w:sz w:val="21"/>
                <w:szCs w:val="21"/>
              </w:rPr>
              <w:br w:type="textWrapping"/>
            </w:r>
            <w:r>
              <w:rPr>
                <w:rFonts w:ascii="宋体" w:hAnsi="宋体" w:eastAsia="宋体" w:cs="宋体"/>
                <w:sz w:val="21"/>
                <w:szCs w:val="21"/>
              </w:rPr>
              <w:t>郑州运行维护服务(委托)合同 5W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数采仪4台（内蒙古凡动网络科技有限公司） 6W</w:t>
            </w:r>
            <w:r>
              <w:rPr>
                <w:rFonts w:ascii="宋体" w:hAnsi="宋体" w:eastAsia="宋体" w:cs="宋体"/>
                <w:sz w:val="21"/>
                <w:szCs w:val="21"/>
              </w:rPr>
              <w:br w:type="textWrapping"/>
            </w:r>
            <w:r>
              <w:rPr>
                <w:rFonts w:ascii="宋体" w:hAnsi="宋体" w:eastAsia="宋体" w:cs="宋体"/>
                <w:sz w:val="21"/>
                <w:szCs w:val="21"/>
              </w:rPr>
              <w:t>校时器采购合同（双城市格瑞电力有限公司 ）0.24W</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企业风控360（绿能（杭州）企业管理有限公司）13.6W</w:t>
            </w:r>
            <w:r>
              <w:rPr>
                <w:rFonts w:ascii="宋体" w:hAnsi="宋体" w:eastAsia="宋体" w:cs="宋体"/>
                <w:sz w:val="21"/>
                <w:szCs w:val="21"/>
              </w:rPr>
              <w:br w:type="textWrapping"/>
            </w:r>
            <w:r>
              <w:rPr>
                <w:rFonts w:ascii="宋体" w:hAnsi="宋体" w:eastAsia="宋体" w:cs="宋体"/>
                <w:sz w:val="21"/>
                <w:szCs w:val="21"/>
              </w:rPr>
              <w:t>杨浩</w:t>
            </w:r>
            <w:r>
              <w:rPr>
                <w:rFonts w:ascii="宋体" w:hAnsi="宋体" w:eastAsia="宋体" w:cs="宋体"/>
                <w:sz w:val="21"/>
                <w:szCs w:val="21"/>
              </w:rPr>
              <w:br w:type="textWrapping"/>
            </w:r>
            <w:r>
              <w:rPr>
                <w:rFonts w:ascii="宋体" w:hAnsi="宋体" w:eastAsia="宋体" w:cs="宋体"/>
                <w:sz w:val="21"/>
                <w:szCs w:val="21"/>
              </w:rPr>
              <w:t>企业环保365（山西荣光能源有限公司）续 1.96W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企业环保365（漳州环境再生能源有限公司）2.94W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兵团升级-网络联调（基本信息已完成）</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一、邮件：本周收到19封邮件，遗留10封，六月共收到41封邮件，遗留1封，七月共收到79封邮件，遗留11封。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w:t>
            </w:r>
            <w:r>
              <w:rPr>
                <w:rFonts w:hint="eastAsia" w:ascii="宋体" w:hAnsi="宋体" w:cs="宋体"/>
                <w:sz w:val="21"/>
                <w:szCs w:val="21"/>
                <w:lang w:val="en-US" w:eastAsia="zh-CN"/>
              </w:rPr>
              <w:t xml:space="preserve">  </w:t>
            </w:r>
            <w:r>
              <w:rPr>
                <w:rFonts w:ascii="宋体" w:hAnsi="宋体" w:eastAsia="宋体" w:cs="宋体"/>
                <w:sz w:val="21"/>
                <w:szCs w:val="21"/>
              </w:rPr>
              <w:t>本周共收到1个服务单，已处0个，遗留1个，提交研发bug单0个，遗留0个。</w:t>
            </w:r>
            <w:r>
              <w:rPr>
                <w:rFonts w:ascii="宋体" w:hAnsi="宋体" w:eastAsia="宋体" w:cs="宋体"/>
                <w:sz w:val="21"/>
                <w:szCs w:val="21"/>
              </w:rPr>
              <w:br w:type="textWrapping"/>
            </w:r>
            <w:r>
              <w:rPr>
                <w:rFonts w:ascii="宋体" w:hAnsi="宋体" w:eastAsia="宋体" w:cs="宋体"/>
                <w:sz w:val="21"/>
                <w:szCs w:val="21"/>
              </w:rPr>
              <w:t>  bug历史遗留0（已提交任务单），合计1个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w:t>
            </w:r>
            <w:r>
              <w:rPr>
                <w:rFonts w:hint="eastAsia" w:ascii="宋体" w:hAnsi="宋体" w:cs="宋体"/>
                <w:sz w:val="21"/>
                <w:szCs w:val="21"/>
                <w:lang w:val="en-US" w:eastAsia="zh-CN"/>
              </w:rPr>
              <w:t xml:space="preserve"> </w:t>
            </w:r>
            <w:r>
              <w:rPr>
                <w:rFonts w:ascii="宋体" w:hAnsi="宋体" w:eastAsia="宋体" w:cs="宋体"/>
                <w:sz w:val="21"/>
                <w:szCs w:val="21"/>
              </w:rPr>
              <w:t>本周共收到1个需求单，提交研发1个，已处理0个，撤销0个，历史遗留26个，合计27个。 </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咸阳人员增补</w:t>
            </w:r>
          </w:p>
          <w:p>
            <w:pPr>
              <w:pStyle w:val="22"/>
              <w:numPr>
                <w:ilvl w:val="0"/>
                <w:numId w:val="6"/>
              </w:numPr>
              <w:ind w:firstLineChars="0"/>
              <w:rPr>
                <w:rFonts w:ascii="宋体" w:hAnsi="宋体"/>
                <w:szCs w:val="21"/>
              </w:rPr>
            </w:pPr>
            <w:r>
              <w:rPr>
                <w:rFonts w:hint="eastAsia" w:ascii="宋体" w:hAnsi="宋体"/>
                <w:szCs w:val="21"/>
                <w:lang w:val="en-US" w:eastAsia="zh-CN"/>
              </w:rPr>
              <w:t>咸阳、广州、内蒙自治区招聘沟通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珠海人员离职事宜处理</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OA系统启动会议</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OA系统需求配合</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应收款跟踪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数据安全调研方案会议</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淮北应收款说明</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全国在线系统管理人员情况调查</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青海人员事宜协调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-兵团</w:t>
            </w:r>
            <w:r>
              <w:rPr>
                <w:rFonts w:hint="eastAsia" w:ascii="宋体" w:hAnsi="宋体"/>
                <w:szCs w:val="21"/>
              </w:rPr>
              <w:t>；</w:t>
            </w:r>
          </w:p>
          <w:p>
            <w:pPr>
              <w:pStyle w:val="22"/>
              <w:numPr>
                <w:ilvl w:val="0"/>
                <w:numId w:val="7"/>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7"/>
              </w:numPr>
              <w:ind w:firstLineChars="0"/>
              <w:rPr>
                <w:rFonts w:ascii="宋体" w:hAnsi="宋体"/>
                <w:szCs w:val="21"/>
              </w:rPr>
            </w:pPr>
            <w:r>
              <w:rPr>
                <w:rFonts w:hint="eastAsia" w:ascii="宋体" w:hAnsi="宋体"/>
                <w:szCs w:val="21"/>
                <w:lang w:val="en-US" w:eastAsia="zh-CN"/>
              </w:rPr>
              <w:t>应收款跟踪；</w:t>
            </w:r>
          </w:p>
          <w:p>
            <w:pPr>
              <w:pStyle w:val="22"/>
              <w:numPr>
                <w:ilvl w:val="0"/>
                <w:numId w:val="7"/>
              </w:numPr>
              <w:ind w:firstLineChars="0"/>
              <w:rPr>
                <w:rFonts w:hint="eastAsia" w:ascii="宋体" w:hAnsi="宋体"/>
                <w:szCs w:val="21"/>
              </w:rPr>
            </w:pPr>
            <w:r>
              <w:rPr>
                <w:rFonts w:hint="eastAsia" w:ascii="宋体" w:hAnsi="宋体"/>
                <w:szCs w:val="21"/>
                <w:lang w:val="en-US" w:eastAsia="zh-CN"/>
              </w:rPr>
              <w:t>4.2报表事宜推进</w:t>
            </w:r>
          </w:p>
          <w:p>
            <w:pPr>
              <w:pStyle w:val="22"/>
              <w:numPr>
                <w:ilvl w:val="0"/>
                <w:numId w:val="7"/>
              </w:numPr>
              <w:ind w:firstLineChars="0"/>
              <w:rPr>
                <w:rFonts w:hint="default" w:ascii="宋体" w:hAnsi="宋体"/>
                <w:szCs w:val="21"/>
                <w:lang w:val="en-US"/>
              </w:rPr>
            </w:pPr>
            <w:r>
              <w:rPr>
                <w:rFonts w:hint="eastAsia" w:ascii="宋体" w:hAnsi="宋体"/>
                <w:szCs w:val="21"/>
                <w:lang w:val="en-US" w:eastAsia="zh-CN"/>
              </w:rPr>
              <w:t>OA需求配合</w:t>
            </w:r>
          </w:p>
          <w:p>
            <w:pPr>
              <w:pStyle w:val="22"/>
              <w:numPr>
                <w:ilvl w:val="0"/>
                <w:numId w:val="7"/>
              </w:numPr>
              <w:ind w:firstLineChars="0"/>
              <w:rPr>
                <w:rFonts w:hint="default" w:ascii="宋体" w:hAnsi="宋体"/>
                <w:szCs w:val="21"/>
                <w:lang w:val="en-US"/>
              </w:rPr>
            </w:pPr>
            <w:r>
              <w:rPr>
                <w:rFonts w:hint="eastAsia" w:ascii="宋体" w:hAnsi="宋体"/>
                <w:szCs w:val="21"/>
                <w:lang w:val="en-US" w:eastAsia="zh-CN"/>
              </w:rPr>
              <w:t>7月合同事项表</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孝感市污染源自动监控平台运维、自动监控设施现场监督检查技术服务及部分重点排污单位用电监控设施建设项目标书。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29</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944938C"/>
    <w:multiLevelType w:val="singleLevel"/>
    <w:tmpl w:val="5944938C"/>
    <w:lvl w:ilvl="0" w:tentative="0">
      <w:start w:val="2"/>
      <w:numFmt w:val="decimal"/>
      <w:suff w:val="nothing"/>
      <w:lvlText w:val="%1、"/>
      <w:lvlJc w:val="left"/>
    </w:lvl>
  </w:abstractNum>
  <w:abstractNum w:abstractNumId="4">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2025E62"/>
    <w:rsid w:val="02243C5B"/>
    <w:rsid w:val="0286060F"/>
    <w:rsid w:val="02B52978"/>
    <w:rsid w:val="02C30129"/>
    <w:rsid w:val="02D96613"/>
    <w:rsid w:val="033B1E02"/>
    <w:rsid w:val="035E2888"/>
    <w:rsid w:val="03D66620"/>
    <w:rsid w:val="04506958"/>
    <w:rsid w:val="04A32949"/>
    <w:rsid w:val="04E903D2"/>
    <w:rsid w:val="05790131"/>
    <w:rsid w:val="05AB3866"/>
    <w:rsid w:val="065A296E"/>
    <w:rsid w:val="07104571"/>
    <w:rsid w:val="07146078"/>
    <w:rsid w:val="07946601"/>
    <w:rsid w:val="07F86F98"/>
    <w:rsid w:val="07F9353A"/>
    <w:rsid w:val="086F6D8B"/>
    <w:rsid w:val="088679E3"/>
    <w:rsid w:val="08C564E2"/>
    <w:rsid w:val="090220F3"/>
    <w:rsid w:val="09E93194"/>
    <w:rsid w:val="09F35818"/>
    <w:rsid w:val="09F9250B"/>
    <w:rsid w:val="0A875201"/>
    <w:rsid w:val="0A922377"/>
    <w:rsid w:val="0A9D16CA"/>
    <w:rsid w:val="0AED3091"/>
    <w:rsid w:val="0AEF699F"/>
    <w:rsid w:val="0B7B030A"/>
    <w:rsid w:val="0C315314"/>
    <w:rsid w:val="0C7139B7"/>
    <w:rsid w:val="0CDC22FC"/>
    <w:rsid w:val="0D272220"/>
    <w:rsid w:val="0E0062C1"/>
    <w:rsid w:val="0E3317D8"/>
    <w:rsid w:val="0E42139A"/>
    <w:rsid w:val="0E5B66EB"/>
    <w:rsid w:val="0EBE556F"/>
    <w:rsid w:val="0F15562C"/>
    <w:rsid w:val="0F2904D1"/>
    <w:rsid w:val="101D64CD"/>
    <w:rsid w:val="115075C2"/>
    <w:rsid w:val="1152104B"/>
    <w:rsid w:val="11A91E81"/>
    <w:rsid w:val="11D706B9"/>
    <w:rsid w:val="123320FA"/>
    <w:rsid w:val="12554CFC"/>
    <w:rsid w:val="126912BA"/>
    <w:rsid w:val="12955EAD"/>
    <w:rsid w:val="12D250DB"/>
    <w:rsid w:val="12F157AA"/>
    <w:rsid w:val="133E6AC9"/>
    <w:rsid w:val="13B70F88"/>
    <w:rsid w:val="13D75A05"/>
    <w:rsid w:val="13E065A0"/>
    <w:rsid w:val="141D38E4"/>
    <w:rsid w:val="14C61E8F"/>
    <w:rsid w:val="15277E09"/>
    <w:rsid w:val="15A30BE6"/>
    <w:rsid w:val="15C37680"/>
    <w:rsid w:val="15E83F8E"/>
    <w:rsid w:val="16084C40"/>
    <w:rsid w:val="16620EC1"/>
    <w:rsid w:val="16BA2357"/>
    <w:rsid w:val="16EB23F2"/>
    <w:rsid w:val="170741A1"/>
    <w:rsid w:val="17577430"/>
    <w:rsid w:val="17DA15A6"/>
    <w:rsid w:val="17F306FB"/>
    <w:rsid w:val="18BA4EFB"/>
    <w:rsid w:val="18D71152"/>
    <w:rsid w:val="19D6494B"/>
    <w:rsid w:val="19DF4E55"/>
    <w:rsid w:val="1A496D50"/>
    <w:rsid w:val="1AC527C1"/>
    <w:rsid w:val="1AEA1317"/>
    <w:rsid w:val="1B3B23A6"/>
    <w:rsid w:val="1BBE0BEC"/>
    <w:rsid w:val="1BE964EE"/>
    <w:rsid w:val="1C323A09"/>
    <w:rsid w:val="1C443F2A"/>
    <w:rsid w:val="1CEC6CF5"/>
    <w:rsid w:val="1CF814E3"/>
    <w:rsid w:val="1D100F23"/>
    <w:rsid w:val="1D1745E9"/>
    <w:rsid w:val="1D1C2DB3"/>
    <w:rsid w:val="1D9958B9"/>
    <w:rsid w:val="1DAF1A8B"/>
    <w:rsid w:val="1DDB6269"/>
    <w:rsid w:val="1EAA1F74"/>
    <w:rsid w:val="1EBB7AE1"/>
    <w:rsid w:val="1EEC5C5B"/>
    <w:rsid w:val="1F164BA3"/>
    <w:rsid w:val="1F470BC3"/>
    <w:rsid w:val="1F6669AD"/>
    <w:rsid w:val="1F6E69FE"/>
    <w:rsid w:val="1F7F25FA"/>
    <w:rsid w:val="1FA45FBA"/>
    <w:rsid w:val="20BD04E6"/>
    <w:rsid w:val="214B5D44"/>
    <w:rsid w:val="21771570"/>
    <w:rsid w:val="21945860"/>
    <w:rsid w:val="21B05874"/>
    <w:rsid w:val="229D77F6"/>
    <w:rsid w:val="229E6AC8"/>
    <w:rsid w:val="22E37018"/>
    <w:rsid w:val="24644552"/>
    <w:rsid w:val="248D00FC"/>
    <w:rsid w:val="248D10AB"/>
    <w:rsid w:val="24961EAC"/>
    <w:rsid w:val="249D666B"/>
    <w:rsid w:val="257F3212"/>
    <w:rsid w:val="258778A8"/>
    <w:rsid w:val="25AB616E"/>
    <w:rsid w:val="25E83B04"/>
    <w:rsid w:val="2601304C"/>
    <w:rsid w:val="266574E5"/>
    <w:rsid w:val="266C55D3"/>
    <w:rsid w:val="26A51461"/>
    <w:rsid w:val="26A557A2"/>
    <w:rsid w:val="26D47CD8"/>
    <w:rsid w:val="26EA4592"/>
    <w:rsid w:val="2771036C"/>
    <w:rsid w:val="277C0DCE"/>
    <w:rsid w:val="28494D8C"/>
    <w:rsid w:val="286F7C9A"/>
    <w:rsid w:val="29362980"/>
    <w:rsid w:val="29736AC1"/>
    <w:rsid w:val="2B2C51E3"/>
    <w:rsid w:val="2B5A3D17"/>
    <w:rsid w:val="2B887BAA"/>
    <w:rsid w:val="2B9351F9"/>
    <w:rsid w:val="2BA9488B"/>
    <w:rsid w:val="2CC83BB8"/>
    <w:rsid w:val="2CFE0766"/>
    <w:rsid w:val="2D025E46"/>
    <w:rsid w:val="2D3023BB"/>
    <w:rsid w:val="2DA46CF2"/>
    <w:rsid w:val="2E075CA1"/>
    <w:rsid w:val="2E5802BB"/>
    <w:rsid w:val="2E616DA9"/>
    <w:rsid w:val="2E743721"/>
    <w:rsid w:val="2EEA09E9"/>
    <w:rsid w:val="2F177EEF"/>
    <w:rsid w:val="2F6F3875"/>
    <w:rsid w:val="30143631"/>
    <w:rsid w:val="301E17C8"/>
    <w:rsid w:val="3094000D"/>
    <w:rsid w:val="30DB191B"/>
    <w:rsid w:val="313059E8"/>
    <w:rsid w:val="318E33AB"/>
    <w:rsid w:val="31E92A38"/>
    <w:rsid w:val="327F1090"/>
    <w:rsid w:val="32DF61E8"/>
    <w:rsid w:val="33C365FA"/>
    <w:rsid w:val="33D82E82"/>
    <w:rsid w:val="34057B8E"/>
    <w:rsid w:val="34D33E29"/>
    <w:rsid w:val="36714CC1"/>
    <w:rsid w:val="36847C9D"/>
    <w:rsid w:val="36903BFA"/>
    <w:rsid w:val="36C84B8A"/>
    <w:rsid w:val="374B2131"/>
    <w:rsid w:val="37E86554"/>
    <w:rsid w:val="39254976"/>
    <w:rsid w:val="395A454B"/>
    <w:rsid w:val="39C44E98"/>
    <w:rsid w:val="39C86577"/>
    <w:rsid w:val="39EA6FE8"/>
    <w:rsid w:val="3A37020F"/>
    <w:rsid w:val="3A62623B"/>
    <w:rsid w:val="3AB379D9"/>
    <w:rsid w:val="3ABE017E"/>
    <w:rsid w:val="3AE01ADD"/>
    <w:rsid w:val="3B381919"/>
    <w:rsid w:val="3B553532"/>
    <w:rsid w:val="3BA73D0D"/>
    <w:rsid w:val="3BDF7DBF"/>
    <w:rsid w:val="3C010C73"/>
    <w:rsid w:val="3C3C2D43"/>
    <w:rsid w:val="3CC24A65"/>
    <w:rsid w:val="3CDE2C5F"/>
    <w:rsid w:val="3CF90C34"/>
    <w:rsid w:val="3D6305D9"/>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4F6F40"/>
    <w:rsid w:val="42A13D0D"/>
    <w:rsid w:val="42AF0237"/>
    <w:rsid w:val="42FF6BB2"/>
    <w:rsid w:val="43255A9C"/>
    <w:rsid w:val="434B4BB8"/>
    <w:rsid w:val="43BE6733"/>
    <w:rsid w:val="43E57654"/>
    <w:rsid w:val="44174FED"/>
    <w:rsid w:val="44803657"/>
    <w:rsid w:val="44881BB5"/>
    <w:rsid w:val="44AD0C81"/>
    <w:rsid w:val="44C12B3C"/>
    <w:rsid w:val="44CC44F5"/>
    <w:rsid w:val="45365305"/>
    <w:rsid w:val="453E7B2C"/>
    <w:rsid w:val="459D769C"/>
    <w:rsid w:val="45F65493"/>
    <w:rsid w:val="462E79CC"/>
    <w:rsid w:val="46841EB6"/>
    <w:rsid w:val="46962A76"/>
    <w:rsid w:val="46DD53D3"/>
    <w:rsid w:val="46FE12A2"/>
    <w:rsid w:val="4735520F"/>
    <w:rsid w:val="47706DF0"/>
    <w:rsid w:val="49303C2F"/>
    <w:rsid w:val="49496A9F"/>
    <w:rsid w:val="49763648"/>
    <w:rsid w:val="49D12742"/>
    <w:rsid w:val="4A067178"/>
    <w:rsid w:val="4A0E418F"/>
    <w:rsid w:val="4A273284"/>
    <w:rsid w:val="4A481A4D"/>
    <w:rsid w:val="4A8F29EC"/>
    <w:rsid w:val="4B365921"/>
    <w:rsid w:val="4BA96760"/>
    <w:rsid w:val="4C43185C"/>
    <w:rsid w:val="4CFA0ED8"/>
    <w:rsid w:val="4D25537E"/>
    <w:rsid w:val="4D7053B9"/>
    <w:rsid w:val="4DD74FC1"/>
    <w:rsid w:val="4DE214AF"/>
    <w:rsid w:val="4E1817CD"/>
    <w:rsid w:val="4E2A76E8"/>
    <w:rsid w:val="4E345F70"/>
    <w:rsid w:val="4E913634"/>
    <w:rsid w:val="4EB14C79"/>
    <w:rsid w:val="4EC94537"/>
    <w:rsid w:val="4F163F80"/>
    <w:rsid w:val="502E52C3"/>
    <w:rsid w:val="504563A9"/>
    <w:rsid w:val="512F0133"/>
    <w:rsid w:val="513270DE"/>
    <w:rsid w:val="51437BBA"/>
    <w:rsid w:val="518B51DD"/>
    <w:rsid w:val="51C01C58"/>
    <w:rsid w:val="51C265B1"/>
    <w:rsid w:val="526F5A7C"/>
    <w:rsid w:val="5288182F"/>
    <w:rsid w:val="538A2999"/>
    <w:rsid w:val="54FE1E77"/>
    <w:rsid w:val="5662137D"/>
    <w:rsid w:val="566D7DDD"/>
    <w:rsid w:val="57977FE7"/>
    <w:rsid w:val="57D734E4"/>
    <w:rsid w:val="58B02875"/>
    <w:rsid w:val="58F92290"/>
    <w:rsid w:val="5A064894"/>
    <w:rsid w:val="5A4E390C"/>
    <w:rsid w:val="5ACE0733"/>
    <w:rsid w:val="5B7E6A7C"/>
    <w:rsid w:val="5B8B6CF0"/>
    <w:rsid w:val="5B9C5154"/>
    <w:rsid w:val="5BFA3733"/>
    <w:rsid w:val="5C036296"/>
    <w:rsid w:val="5C73713B"/>
    <w:rsid w:val="5DAF2679"/>
    <w:rsid w:val="5DCF3A41"/>
    <w:rsid w:val="5DD667ED"/>
    <w:rsid w:val="5DF11787"/>
    <w:rsid w:val="5E0771FD"/>
    <w:rsid w:val="5E197552"/>
    <w:rsid w:val="5F8959EF"/>
    <w:rsid w:val="5FAA30FD"/>
    <w:rsid w:val="61077826"/>
    <w:rsid w:val="617B232C"/>
    <w:rsid w:val="61B332FD"/>
    <w:rsid w:val="631C5951"/>
    <w:rsid w:val="63587ECC"/>
    <w:rsid w:val="638352D3"/>
    <w:rsid w:val="662C4825"/>
    <w:rsid w:val="6657345A"/>
    <w:rsid w:val="667B59DC"/>
    <w:rsid w:val="66C93B49"/>
    <w:rsid w:val="671D1877"/>
    <w:rsid w:val="674E727C"/>
    <w:rsid w:val="67DC130D"/>
    <w:rsid w:val="68532558"/>
    <w:rsid w:val="686C05D1"/>
    <w:rsid w:val="68AC6155"/>
    <w:rsid w:val="68BC60F9"/>
    <w:rsid w:val="68C1444C"/>
    <w:rsid w:val="691B4B30"/>
    <w:rsid w:val="69420224"/>
    <w:rsid w:val="69B8699C"/>
    <w:rsid w:val="69FC5E8B"/>
    <w:rsid w:val="6A7A3516"/>
    <w:rsid w:val="6AA915A7"/>
    <w:rsid w:val="6AB11548"/>
    <w:rsid w:val="6AFB3743"/>
    <w:rsid w:val="6BA57BFA"/>
    <w:rsid w:val="6BB3447D"/>
    <w:rsid w:val="6BCB24B4"/>
    <w:rsid w:val="6C2C3E19"/>
    <w:rsid w:val="6CCD1E11"/>
    <w:rsid w:val="6CF41256"/>
    <w:rsid w:val="6D6D363E"/>
    <w:rsid w:val="6D9B2892"/>
    <w:rsid w:val="6DF65CB0"/>
    <w:rsid w:val="6F494928"/>
    <w:rsid w:val="6F5C19F5"/>
    <w:rsid w:val="70482EC1"/>
    <w:rsid w:val="70493483"/>
    <w:rsid w:val="708E730A"/>
    <w:rsid w:val="7094483B"/>
    <w:rsid w:val="709907A0"/>
    <w:rsid w:val="71024BC1"/>
    <w:rsid w:val="710505EC"/>
    <w:rsid w:val="71C64D2F"/>
    <w:rsid w:val="725439FD"/>
    <w:rsid w:val="72A77DCB"/>
    <w:rsid w:val="731F2E22"/>
    <w:rsid w:val="73866511"/>
    <w:rsid w:val="73B92537"/>
    <w:rsid w:val="74160F85"/>
    <w:rsid w:val="74AC2EEA"/>
    <w:rsid w:val="75462177"/>
    <w:rsid w:val="760E7CD8"/>
    <w:rsid w:val="76536B33"/>
    <w:rsid w:val="766919AE"/>
    <w:rsid w:val="76F23784"/>
    <w:rsid w:val="7700013E"/>
    <w:rsid w:val="77034705"/>
    <w:rsid w:val="770C0F88"/>
    <w:rsid w:val="77CA0A7C"/>
    <w:rsid w:val="77E30908"/>
    <w:rsid w:val="78BC253A"/>
    <w:rsid w:val="78DB4642"/>
    <w:rsid w:val="78F16E79"/>
    <w:rsid w:val="78F95A5E"/>
    <w:rsid w:val="7931365B"/>
    <w:rsid w:val="793C1DD2"/>
    <w:rsid w:val="79EA75A5"/>
    <w:rsid w:val="79FE1404"/>
    <w:rsid w:val="7A9C4BE0"/>
    <w:rsid w:val="7A9D4F34"/>
    <w:rsid w:val="7AA06D9A"/>
    <w:rsid w:val="7AB20E8B"/>
    <w:rsid w:val="7B7B56FA"/>
    <w:rsid w:val="7BA474D9"/>
    <w:rsid w:val="7BC9569A"/>
    <w:rsid w:val="7C244BC3"/>
    <w:rsid w:val="7C983B0C"/>
    <w:rsid w:val="7CA84137"/>
    <w:rsid w:val="7CDC0960"/>
    <w:rsid w:val="7CE0713F"/>
    <w:rsid w:val="7CF274F0"/>
    <w:rsid w:val="7D710EC9"/>
    <w:rsid w:val="7DD26735"/>
    <w:rsid w:val="7DE107F3"/>
    <w:rsid w:val="7DF96F41"/>
    <w:rsid w:val="7E5C397A"/>
    <w:rsid w:val="7EDB6742"/>
    <w:rsid w:val="7F233B2A"/>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1400</Words>
  <Characters>1576</Characters>
  <Lines>21</Lines>
  <Paragraphs>5</Paragraphs>
  <TotalTime>35</TotalTime>
  <ScaleCrop>false</ScaleCrop>
  <LinksUpToDate>false</LinksUpToDate>
  <CharactersWithSpaces>1708</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2022-07-29T10:04:36Z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812EAC3AF6034A67A3FF0AB6D99BB538</vt:lpwstr>
  </property>
</Properties>
</file>