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823"/>
        <w:gridCol w:w="8291"/>
      </w:tblGrid>
      <w:tr w:rsidR="00AF0653">
        <w:trPr>
          <w:trHeight w:val="350"/>
        </w:trPr>
        <w:tc>
          <w:tcPr>
            <w:tcW w:w="14069" w:type="dxa"/>
            <w:gridSpan w:val="4"/>
          </w:tcPr>
          <w:p w:rsidR="00AF0653" w:rsidRDefault="00C637A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F0653" w:rsidTr="00310C31">
        <w:trPr>
          <w:trHeight w:val="350"/>
        </w:trPr>
        <w:tc>
          <w:tcPr>
            <w:tcW w:w="1032" w:type="dxa"/>
          </w:tcPr>
          <w:p w:rsidR="00AF0653" w:rsidRDefault="00C637A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23" w:type="dxa"/>
          </w:tcPr>
          <w:p w:rsidR="00AF0653" w:rsidRDefault="00C637A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823" w:type="dxa"/>
          </w:tcPr>
          <w:p w:rsidR="00AF0653" w:rsidRDefault="00C637A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8291" w:type="dxa"/>
          </w:tcPr>
          <w:p w:rsidR="00AF0653" w:rsidRDefault="00C637A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F0653" w:rsidTr="00310C31">
        <w:trPr>
          <w:trHeight w:val="428"/>
        </w:trPr>
        <w:tc>
          <w:tcPr>
            <w:tcW w:w="1032" w:type="dxa"/>
            <w:vMerge w:val="restart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23" w:type="dxa"/>
            <w:vMerge w:val="restart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技术服务工作总结</w:t>
            </w:r>
          </w:p>
        </w:tc>
        <w:tc>
          <w:tcPr>
            <w:tcW w:w="2823" w:type="dxa"/>
          </w:tcPr>
          <w:p w:rsidR="00AF0653" w:rsidRDefault="00C637AC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亮点分析</w:t>
            </w:r>
          </w:p>
        </w:tc>
        <w:tc>
          <w:tcPr>
            <w:tcW w:w="8291" w:type="dxa"/>
          </w:tcPr>
          <w:p w:rsidR="00AF0653" w:rsidRDefault="00AF0653">
            <w:pPr>
              <w:pStyle w:val="a6"/>
              <w:widowControl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AF0653" w:rsidTr="00310C31">
        <w:trPr>
          <w:trHeight w:val="280"/>
        </w:trPr>
        <w:tc>
          <w:tcPr>
            <w:tcW w:w="1032" w:type="dxa"/>
            <w:vMerge/>
          </w:tcPr>
          <w:p w:rsidR="00AF0653" w:rsidRDefault="00AF065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AF0653" w:rsidRDefault="00AF0653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23" w:type="dxa"/>
          </w:tcPr>
          <w:p w:rsidR="00AF0653" w:rsidRDefault="00C637AC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不足分析</w:t>
            </w:r>
          </w:p>
        </w:tc>
        <w:tc>
          <w:tcPr>
            <w:tcW w:w="8291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653" w:rsidTr="00310C31">
        <w:trPr>
          <w:trHeight w:val="280"/>
        </w:trPr>
        <w:tc>
          <w:tcPr>
            <w:tcW w:w="1032" w:type="dxa"/>
            <w:vMerge/>
          </w:tcPr>
          <w:p w:rsidR="00AF0653" w:rsidRDefault="00AF065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AF0653" w:rsidRDefault="00AF06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23" w:type="dxa"/>
          </w:tcPr>
          <w:p w:rsidR="00AF0653" w:rsidRDefault="00C637AC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改进措施</w:t>
            </w:r>
          </w:p>
        </w:tc>
        <w:tc>
          <w:tcPr>
            <w:tcW w:w="8291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653" w:rsidTr="00310C31">
        <w:trPr>
          <w:trHeight w:val="280"/>
        </w:trPr>
        <w:tc>
          <w:tcPr>
            <w:tcW w:w="1032" w:type="dxa"/>
            <w:vMerge/>
          </w:tcPr>
          <w:p w:rsidR="00AF0653" w:rsidRDefault="00AF065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823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8291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653" w:rsidTr="00310C31">
        <w:trPr>
          <w:trHeight w:val="280"/>
        </w:trPr>
        <w:tc>
          <w:tcPr>
            <w:tcW w:w="1032" w:type="dxa"/>
            <w:vMerge/>
          </w:tcPr>
          <w:p w:rsidR="00AF0653" w:rsidRDefault="00AF065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AF0653" w:rsidRDefault="00AF065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8291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653" w:rsidTr="00310C31">
        <w:trPr>
          <w:trHeight w:val="280"/>
        </w:trPr>
        <w:tc>
          <w:tcPr>
            <w:tcW w:w="1032" w:type="dxa"/>
            <w:vMerge/>
          </w:tcPr>
          <w:p w:rsidR="00AF0653" w:rsidRDefault="00AF06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AF0653" w:rsidRDefault="00AF06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8291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653" w:rsidTr="00310C31">
        <w:trPr>
          <w:trHeight w:val="1603"/>
        </w:trPr>
        <w:tc>
          <w:tcPr>
            <w:tcW w:w="1032" w:type="dxa"/>
            <w:vMerge w:val="restart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23" w:type="dxa"/>
            <w:vMerge w:val="restart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技术服务工作计划</w:t>
            </w:r>
          </w:p>
        </w:tc>
        <w:tc>
          <w:tcPr>
            <w:tcW w:w="2823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8291" w:type="dxa"/>
          </w:tcPr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迟到人员：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刘涵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、林泽锋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请假人员：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李会珍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曾家文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加班人员：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简识帆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孟志伟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、钟小燕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大区内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各项注意的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工作：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、各省、市、区的项目快到期的准备验收资料和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继签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工作；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出差费用使用商务卡的问题；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、公司中秋节寄给到各地办公室的水果和用户分享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；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、中央督查组到广东和湖北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，周末和中秋的</w:t>
            </w:r>
            <w:r w:rsidR="00310C3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加班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统计。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lastRenderedPageBreak/>
              <w:t>海南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日常工作，维持传输有效率的稳定，交换数据，国发平台系统稳定运行，每日通报，数据调度及日常客户微信、电话问题处理。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重点排污单位名录整理，对新增重点排污单位企业排查，安装进展统计。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负责组织市县上来跟班学习工作。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4.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在线组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又从执法组分出来了，科室三个主任（焦科，两个李科），分管领导从伍局换成韩处。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湖南：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br/>
              <w:t>1.4.2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升级方面，目前湖南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4.2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资源到位了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个市州。但省厅和部分市州都有国产化要求，已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从省厅拿到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最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新安可清单，发给总部做适配，具体何时能部署上线，时间点上还不明朗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br/>
              <w:t>2.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目前湖南主要工作重心在于监控中心值班，平台完善上，客户想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lastRenderedPageBreak/>
              <w:t>法很多，特别是督办流程这块，已经和客户确认了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次流程，但功能方面还未开发完成</w:t>
            </w:r>
            <w:r w:rsidR="00310C3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br/>
              <w:t>3.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分管副局长可能会做调整，但湖南在线管理的总体方向还是不会有变化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br/>
              <w:t>4.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各项日常运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维工作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有序进行。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br/>
              <w:t>5.8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月客户的需求基本都是数据服务，针对全省在线数据进行多维度，各类型数据统计，为客户提供汇报材料和工作支撑。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湖南长沙：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、新政策下发后，对新联入的企业进行联网、验收。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、进行日常运维工作。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、项目即将验收，整理验收资料及相关事宜。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、配合执法局现场检查，发现多起线索。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、编写上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云方案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及对接相关事宜。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lastRenderedPageBreak/>
              <w:t>6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、紧抓传输有效率，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月传输有效率为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9.98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，位居湖南第二。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广东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1.8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月份珠海短信报警遗留问题，目前已正常运行。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2.</w:t>
            </w:r>
            <w:r w:rsidR="00310C31">
              <w:rPr>
                <w:rFonts w:ascii="宋体" w:hAnsi="宋体"/>
                <w:color w:val="000000"/>
                <w:kern w:val="0"/>
                <w:sz w:val="28"/>
                <w:szCs w:val="28"/>
              </w:rPr>
              <w:t>分管领导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陈晓鹏陈处调岗到</w:t>
            </w:r>
            <w:r w:rsidR="00310C31">
              <w:rPr>
                <w:rFonts w:ascii="宋体" w:hAnsi="宋体"/>
                <w:color w:val="000000"/>
                <w:kern w:val="0"/>
                <w:sz w:val="28"/>
                <w:szCs w:val="28"/>
              </w:rPr>
              <w:t>广州市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从化区水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局。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日常运维。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跟着总部学习部署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4.2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上周中央督察组已抵达广州，完成领导安排的事项。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目前升级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4.2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省服务器资源申请，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钟科要求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先暂停进行，等和领导开会确认之后在进行。</w:t>
            </w:r>
          </w:p>
          <w:p w:rsidR="00310C31" w:rsidRDefault="00C637AC">
            <w:pP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广西：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月份平台巡检合同到期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，整理验收资料</w:t>
            </w:r>
            <w:r w:rsidR="00310C31">
              <w:rPr>
                <w:rFonts w:ascii="宋体" w:hAnsi="宋体"/>
                <w:color w:val="000000"/>
                <w:kern w:val="0"/>
                <w:sz w:val="28"/>
                <w:szCs w:val="28"/>
              </w:rPr>
              <w:t>准备验收</w:t>
            </w:r>
            <w:r w:rsidR="00310C3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月份由于机房停电导致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3.1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国发服务器和环保税推送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系统虚机服务器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起不来，协助硬件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运维商处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理该问题。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lastRenderedPageBreak/>
              <w:t>3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、广西区平台与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4.2.1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国发合并后，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要做等保测评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。给客户写等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保定级报告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，执法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局客户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请了三个专家来评审，给专家汇报平台建设情况。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br/>
              <w:t>4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、有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地市想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建市平台，提供了方案和报价。后面再约客户面谈一下。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、广西环保税涉税信息共享平台运维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9.25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到期，下一年的运维合同正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走执法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局内部采购流程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、广西国发升级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4.2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后，原来从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3.1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数据库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取数据的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ETL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用不了，所以提了任务单让研发重新做，在厅里信息中心存储的数据库数据存在缺失，用不了。目前决定通过在大发局的区平台接口取数据，希望研发能尽快处理。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华南督查局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华南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督察局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月份主要工作协助朱科对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OA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系统等保评测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整改工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lastRenderedPageBreak/>
              <w:t>作，目前已经全部完成整改，等待二次评测。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br/>
              <w:t>2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按照局里要求对华南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督察局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的在用电脑进行保密检查并提交检查报告。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br/>
              <w:t>3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今年合同中包含的三个采购合同目前已经全部完成，采购合同和发票也已经寄给公司。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br/>
              <w:t>4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月份工作协助朱科完成固定资产报废盘点工作，对运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维资料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进行整理。</w:t>
            </w:r>
          </w:p>
        </w:tc>
      </w:tr>
      <w:tr w:rsidR="00AF0653" w:rsidTr="00310C31">
        <w:trPr>
          <w:trHeight w:val="1755"/>
        </w:trPr>
        <w:tc>
          <w:tcPr>
            <w:tcW w:w="1032" w:type="dxa"/>
            <w:vMerge/>
          </w:tcPr>
          <w:p w:rsidR="00AF0653" w:rsidRDefault="00AF065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AF0653" w:rsidRDefault="00AF06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23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8291" w:type="dxa"/>
          </w:tcPr>
          <w:p w:rsidR="00AF0653" w:rsidRDefault="00C637AC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坚决杜绝利用工作便利与运维商、仪器销售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商损害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公司利益。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br/>
              <w:t>2.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坚决杜绝利用工作便利接受运维商、仪器销售商钱、物，接受的一定要退还。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br/>
              <w:t>3.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驻地运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维人员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驻场环保局，要认清自己的工作职责，不能代表环保局做出管理要求。</w:t>
            </w:r>
          </w:p>
        </w:tc>
      </w:tr>
      <w:tr w:rsidR="00AF0653" w:rsidTr="00310C31">
        <w:trPr>
          <w:trHeight w:val="434"/>
        </w:trPr>
        <w:tc>
          <w:tcPr>
            <w:tcW w:w="1032" w:type="dxa"/>
            <w:vMerge/>
          </w:tcPr>
          <w:p w:rsidR="00AF0653" w:rsidRDefault="00AF065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823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8291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653" w:rsidTr="00310C31">
        <w:trPr>
          <w:trHeight w:val="280"/>
        </w:trPr>
        <w:tc>
          <w:tcPr>
            <w:tcW w:w="1032" w:type="dxa"/>
            <w:vMerge/>
          </w:tcPr>
          <w:p w:rsidR="00AF0653" w:rsidRDefault="00AF065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AF0653" w:rsidRDefault="00AF06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23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8291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653" w:rsidTr="00310C31">
        <w:trPr>
          <w:trHeight w:val="280"/>
        </w:trPr>
        <w:tc>
          <w:tcPr>
            <w:tcW w:w="1032" w:type="dxa"/>
            <w:vMerge/>
          </w:tcPr>
          <w:p w:rsidR="00AF0653" w:rsidRDefault="00AF065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823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8291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653" w:rsidTr="00310C31">
        <w:trPr>
          <w:trHeight w:val="280"/>
        </w:trPr>
        <w:tc>
          <w:tcPr>
            <w:tcW w:w="1032" w:type="dxa"/>
            <w:vMerge/>
          </w:tcPr>
          <w:p w:rsidR="00AF0653" w:rsidRDefault="00AF065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AF0653" w:rsidRDefault="00AF0653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23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8291" w:type="dxa"/>
          </w:tcPr>
          <w:p w:rsidR="00AF0653" w:rsidRDefault="00C637A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F0653" w:rsidRDefault="00AF0653"/>
    <w:sectPr w:rsidR="00AF06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E89C4D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70FC0C4C"/>
    <w:lvl w:ilvl="0">
      <w:start w:val="1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53"/>
    <w:rsid w:val="00310C31"/>
    <w:rsid w:val="00AF0653"/>
    <w:rsid w:val="00C6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</dc:creator>
  <cp:lastModifiedBy>Lenovo</cp:lastModifiedBy>
  <cp:revision>2</cp:revision>
  <dcterms:created xsi:type="dcterms:W3CDTF">2021-09-08T11:54:00Z</dcterms:created>
  <dcterms:modified xsi:type="dcterms:W3CDTF">2021-09-08T11:54:00Z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e1d5f2343e7448c390fd285963b6d507</vt:lpwstr>
  </property>
</Properties>
</file>