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2021年</w:t>
      </w:r>
      <w:r>
        <w:rPr>
          <w:rFonts w:ascii="黑体" w:hAnsi="黑体" w:eastAsia="黑体"/>
          <w:sz w:val="52"/>
        </w:rPr>
        <w:t>第3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北京驻地运维服务报2人预算约50万</w:t>
            </w:r>
            <w:r>
              <w:rPr>
                <w:rFonts w:hint="eastAsia"/>
                <w:sz w:val="28"/>
                <w:szCs w:val="28"/>
              </w:rPr>
              <w:t>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惠民中环新能源有限公司</w:t>
            </w:r>
            <w:r>
              <w:rPr>
                <w:sz w:val="28"/>
                <w:szCs w:val="28"/>
              </w:rPr>
              <w:t>365服务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秦喜红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北京中科集团软件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签订</w:t>
            </w:r>
            <w:r>
              <w:rPr>
                <w:rFonts w:hint="eastAsia"/>
                <w:sz w:val="28"/>
                <w:szCs w:val="28"/>
              </w:rPr>
              <w:t>流程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已走盖章流程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环境部署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数据库，云平台，管理端，企业端，都部署完毕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北京中科集团软件合同</w:t>
            </w:r>
            <w:r>
              <w:rPr>
                <w:sz w:val="28"/>
                <w:szCs w:val="28"/>
              </w:rPr>
              <w:t>签订。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515C7576"/>
    <w:multiLevelType w:val="multilevel"/>
    <w:tmpl w:val="515C7576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1E6766B9"/>
    <w:rsid w:val="5114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51</Words>
  <Characters>292</Characters>
  <Lines>2</Lines>
  <Paragraphs>1</Paragraphs>
  <TotalTime>12</TotalTime>
  <ScaleCrop>false</ScaleCrop>
  <LinksUpToDate>false</LinksUpToDate>
  <CharactersWithSpaces>342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Administrator</cp:lastModifiedBy>
  <dcterms:modified xsi:type="dcterms:W3CDTF">2021-08-27T08:19:56Z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02FD07B1020D448791BFCE2992304331</vt:lpwstr>
  </property>
</Properties>
</file>