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6B7F9" w14:textId="77777777" w:rsidR="00EC7FB6" w:rsidRDefault="00EC7FB6"/>
    <w:p w14:paraId="246CAF6A" w14:textId="77777777" w:rsidR="00AA3B96" w:rsidRDefault="00AA3B96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555"/>
        <w:gridCol w:w="1530"/>
        <w:gridCol w:w="1985"/>
        <w:gridCol w:w="3969"/>
      </w:tblGrid>
      <w:tr w:rsidR="00AA3B96" w14:paraId="1C070887" w14:textId="77777777" w:rsidTr="00332920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234F8" w14:textId="77777777" w:rsidR="00AA3B96" w:rsidRDefault="00AA3B96" w:rsidP="00842DB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842DB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川</w:t>
            </w:r>
            <w:r w:rsidR="00341B4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云贵渝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D56A7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A3B96" w14:paraId="0878C8B6" w14:textId="77777777" w:rsidTr="00332920">
        <w:trPr>
          <w:trHeight w:val="350"/>
        </w:trPr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DEF563" w14:textId="77777777"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A3B96" w14:paraId="08632ABF" w14:textId="77777777" w:rsidTr="00332920">
        <w:trPr>
          <w:trHeight w:val="35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9741" w14:textId="77777777"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67BC" w14:textId="77777777"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8B904E" w14:textId="77777777"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BE7AA" w14:textId="77777777" w:rsidR="00AA3B96" w:rsidRDefault="00AA3B96" w:rsidP="00664EA7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A3B96" w:rsidRPr="00BB12B2" w14:paraId="570AC4F0" w14:textId="77777777" w:rsidTr="00332920">
        <w:trPr>
          <w:trHeight w:val="42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8786" w14:textId="77777777" w:rsidR="00AA3B96" w:rsidRDefault="0017276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8</w:t>
            </w:r>
            <w:r w:rsidR="00AA3B96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月工作总结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B0AFA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F6DA" w14:textId="77777777" w:rsidR="002F08F7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AB07D4" w14:textId="77777777" w:rsidR="00175AB1" w:rsidRDefault="00753846" w:rsidP="00175AB1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四川省黄杰和贺浩工作交接</w:t>
            </w:r>
          </w:p>
          <w:p w14:paraId="76580270" w14:textId="77777777" w:rsidR="00753846" w:rsidRPr="00175AB1" w:rsidRDefault="00753846" w:rsidP="00175AB1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四川省宜宾、眉山通讯服务器内存经常出现使用率99%的问题排查和处理。</w:t>
            </w:r>
          </w:p>
          <w:p w14:paraId="29628C43" w14:textId="77777777" w:rsidR="00000DD6" w:rsidRDefault="00753846" w:rsidP="00175AB1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贵州省2019年运维验收资料整理</w:t>
            </w:r>
          </w:p>
          <w:p w14:paraId="44AB9D6A" w14:textId="77777777" w:rsidR="00753846" w:rsidRDefault="00753846" w:rsidP="00175AB1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重庆市验收资料准备</w:t>
            </w:r>
          </w:p>
          <w:p w14:paraId="06C2B265" w14:textId="77777777" w:rsidR="00753846" w:rsidRDefault="00753846" w:rsidP="00175AB1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重庆市排放标准修改</w:t>
            </w:r>
          </w:p>
          <w:p w14:paraId="764279B8" w14:textId="77777777" w:rsidR="00753846" w:rsidRDefault="00753846" w:rsidP="00753846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云南省改为一点多发，排污单位直接可以给国发平台传数</w:t>
            </w:r>
          </w:p>
          <w:p w14:paraId="6F448E6A" w14:textId="77777777" w:rsidR="00485862" w:rsidRDefault="00485862" w:rsidP="00485862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</w:t>
            </w:r>
            <w:r w:rsidRPr="0048586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配合执法局自己省监测公司</w:t>
            </w:r>
            <w:proofErr w:type="gramStart"/>
            <w:r w:rsidRPr="0048586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对国控平台</w:t>
            </w:r>
            <w:proofErr w:type="gramEnd"/>
            <w:r w:rsidRPr="0048586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进行</w:t>
            </w:r>
            <w:proofErr w:type="gramStart"/>
            <w:r w:rsidRPr="0048586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三级等保测评</w:t>
            </w:r>
            <w:proofErr w:type="gramEnd"/>
          </w:p>
          <w:p w14:paraId="34185B0A" w14:textId="77777777" w:rsidR="00485862" w:rsidRDefault="00485862" w:rsidP="00485862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</w:t>
            </w:r>
            <w:r w:rsidRPr="0048586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配合各市州将省控平台的企业以及排放余氯的企业添加</w:t>
            </w:r>
            <w:proofErr w:type="gramStart"/>
            <w:r w:rsidRPr="0048586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到国控平台</w:t>
            </w:r>
            <w:proofErr w:type="gramEnd"/>
            <w:r w:rsidRPr="0048586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。</w:t>
            </w:r>
          </w:p>
          <w:p w14:paraId="25696314" w14:textId="77777777" w:rsidR="00485862" w:rsidRPr="00753846" w:rsidRDefault="00485862" w:rsidP="00485862">
            <w:pPr>
              <w:pStyle w:val="a8"/>
              <w:numPr>
                <w:ilvl w:val="0"/>
                <w:numId w:val="8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48586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完成广元，宜宾国控平台java目录穿越漏洞以及国控平台登录弱口令漏洞的布丁升级</w:t>
            </w:r>
          </w:p>
        </w:tc>
      </w:tr>
      <w:tr w:rsidR="00AA3B96" w14:paraId="046BEF15" w14:textId="77777777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20C0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3F5D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EB5EA" w14:textId="77777777" w:rsidR="00AA3B96" w:rsidRDefault="001B4D13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5B7C3" w14:textId="77777777" w:rsidR="00F67E17" w:rsidRPr="006A4695" w:rsidRDefault="00753846" w:rsidP="006A4695">
            <w:pPr>
              <w:pStyle w:val="a8"/>
              <w:widowControl/>
              <w:numPr>
                <w:ilvl w:val="0"/>
                <w:numId w:val="5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贵州省督办系统不产生督办任务</w:t>
            </w:r>
          </w:p>
          <w:p w14:paraId="0D0780F2" w14:textId="77777777" w:rsidR="006A4695" w:rsidRPr="00B234CC" w:rsidRDefault="00B234CC" w:rsidP="00B234CC">
            <w:pPr>
              <w:pStyle w:val="a8"/>
              <w:widowControl/>
              <w:numPr>
                <w:ilvl w:val="0"/>
                <w:numId w:val="5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234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黔南数据共享</w:t>
            </w:r>
            <w:proofErr w:type="gramStart"/>
            <w:r w:rsidRPr="00B234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箱无法</w:t>
            </w:r>
            <w:proofErr w:type="gramEnd"/>
            <w:r w:rsidRPr="00B234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同步数据</w:t>
            </w:r>
          </w:p>
          <w:p w14:paraId="73EA73DE" w14:textId="77777777" w:rsidR="00B234CC" w:rsidRPr="00B234CC" w:rsidRDefault="00B234CC" w:rsidP="00B234CC">
            <w:pPr>
              <w:pStyle w:val="a8"/>
              <w:widowControl/>
              <w:numPr>
                <w:ilvl w:val="0"/>
                <w:numId w:val="5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四川省数据处理程序占用服务内存比较大</w:t>
            </w:r>
          </w:p>
        </w:tc>
      </w:tr>
      <w:tr w:rsidR="00AA3B96" w14:paraId="237F811F" w14:textId="77777777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AD9B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3D6E5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E2E3" w14:textId="77777777" w:rsidR="00173F84" w:rsidRPr="00173F84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97F42F" w14:textId="77777777" w:rsidR="00F67E17" w:rsidRPr="00BD1011" w:rsidRDefault="00C02843" w:rsidP="003D3839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AA3B96" w14:paraId="6A0C1518" w14:textId="77777777" w:rsidTr="004503E1">
        <w:trPr>
          <w:trHeight w:val="18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95821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C9F9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7F2329" w14:textId="77777777" w:rsidR="007C2E0D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3D3839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749D3C" w14:textId="77777777" w:rsidR="00000DD6" w:rsidRDefault="00B234CC" w:rsidP="00000DD6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广元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博能数采仪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沟通事宜以及确定，目前进行合同条款确定</w:t>
            </w:r>
          </w:p>
          <w:p w14:paraId="60C0C942" w14:textId="77777777" w:rsidR="00B234CC" w:rsidRDefault="00B234CC" w:rsidP="00B234CC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234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重庆丰盛三峰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3台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数采仪合同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签订</w:t>
            </w:r>
          </w:p>
          <w:p w14:paraId="5EF5C73C" w14:textId="77777777" w:rsidR="00B234CC" w:rsidRDefault="00B234CC" w:rsidP="00B234CC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234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泸州市兴</w:t>
            </w:r>
            <w:proofErr w:type="gramStart"/>
            <w:r w:rsidRPr="00B234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泸</w:t>
            </w:r>
            <w:proofErr w:type="gramEnd"/>
            <w:r w:rsidRPr="00B234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环保发展有限公司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3台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数采仪合同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签订</w:t>
            </w:r>
          </w:p>
          <w:p w14:paraId="15E935F8" w14:textId="77777777" w:rsidR="00B234CC" w:rsidRDefault="00B234CC" w:rsidP="00B83528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234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海诺尔(宜宾)环保发电有限公司</w:t>
            </w:r>
            <w:r w:rsidR="00B835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2个监控点、</w:t>
            </w:r>
            <w:r w:rsidR="00B83528" w:rsidRPr="00B835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重庆同兴垃圾处理有限公司</w:t>
            </w:r>
            <w:r w:rsidR="00B835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2个监控点、</w:t>
            </w:r>
            <w:r w:rsidR="00B83528" w:rsidRPr="00B835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光大环保能源（遂宁)有限公司</w:t>
            </w:r>
            <w:r w:rsidR="00B835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2个监控</w:t>
            </w:r>
            <w:proofErr w:type="gramStart"/>
            <w:r w:rsidR="00B835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点合同</w:t>
            </w:r>
            <w:proofErr w:type="gramEnd"/>
            <w:r w:rsidR="00B835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签订</w:t>
            </w:r>
          </w:p>
          <w:p w14:paraId="2EC83786" w14:textId="77777777" w:rsidR="00B83528" w:rsidRDefault="00B83528" w:rsidP="00B83528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四川宝英环境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数采仪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经销协议签订</w:t>
            </w:r>
          </w:p>
          <w:p w14:paraId="5206CDA5" w14:textId="77777777" w:rsidR="00190CA7" w:rsidRPr="00190CA7" w:rsidRDefault="00190CA7" w:rsidP="00190CA7">
            <w:pPr>
              <w:pStyle w:val="a8"/>
              <w:numPr>
                <w:ilvl w:val="0"/>
                <w:numId w:val="6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190CA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成都德锦源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代理代理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事宜沟通，确定代理垃圾焚烧专版10台，普通版10台。</w:t>
            </w:r>
          </w:p>
        </w:tc>
      </w:tr>
      <w:tr w:rsidR="00AA3B96" w14:paraId="402DACC7" w14:textId="77777777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237F8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A27C5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48204" w14:textId="77777777" w:rsidR="00AA3B96" w:rsidRDefault="003D3839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0C97F0" w14:textId="77777777" w:rsidR="001840E7" w:rsidRPr="001840E7" w:rsidRDefault="00190CA7" w:rsidP="00190CA7">
            <w:pPr>
              <w:pStyle w:val="a8"/>
              <w:widowControl/>
              <w:ind w:left="360" w:firstLineChars="0" w:firstLine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暂无</w:t>
            </w:r>
          </w:p>
        </w:tc>
      </w:tr>
      <w:tr w:rsidR="00AA3B96" w14:paraId="569E7289" w14:textId="77777777" w:rsidTr="00332920">
        <w:trPr>
          <w:trHeight w:val="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18EC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lastRenderedPageBreak/>
              <w:t>下月工作计划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EC47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731C5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7CFB1A" w14:textId="77777777" w:rsidR="00A4261D" w:rsidRDefault="00190CA7" w:rsidP="00190CA7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重庆市和贵州省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国控运维项目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验收</w:t>
            </w:r>
          </w:p>
          <w:p w14:paraId="59B9F88C" w14:textId="77777777" w:rsidR="00190CA7" w:rsidRPr="006A4695" w:rsidRDefault="00190CA7" w:rsidP="00190CA7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贵州省督办系统不产生督办任务问题处理</w:t>
            </w:r>
          </w:p>
          <w:p w14:paraId="4E810679" w14:textId="77777777" w:rsidR="00190CA7" w:rsidRPr="00B234CC" w:rsidRDefault="00190CA7" w:rsidP="00190CA7">
            <w:pPr>
              <w:pStyle w:val="a8"/>
              <w:widowControl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B234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黔南数据共享</w:t>
            </w:r>
            <w:proofErr w:type="gramStart"/>
            <w:r w:rsidRPr="00B234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箱无法</w:t>
            </w:r>
            <w:proofErr w:type="gramEnd"/>
            <w:r w:rsidRPr="00B234CC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同步数据</w:t>
            </w:r>
            <w:r w:rsidR="00A815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问题处理</w:t>
            </w:r>
          </w:p>
          <w:p w14:paraId="46E23436" w14:textId="77777777" w:rsidR="00190CA7" w:rsidRDefault="00A81516" w:rsidP="005E40AA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A81516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四川省宜宾、眉山通讯服务器内存经常出现使用率99%的问题排查和处理。</w:t>
            </w:r>
          </w:p>
          <w:p w14:paraId="6EF9D6CD" w14:textId="7B08654F" w:rsidR="00485862" w:rsidRDefault="00485862" w:rsidP="00485862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</w:t>
            </w:r>
            <w:r w:rsidR="00D9489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各</w:t>
            </w:r>
            <w:r w:rsidRPr="0048586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市州进行</w:t>
            </w:r>
            <w:r w:rsidR="00D9489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与</w:t>
            </w:r>
            <w:proofErr w:type="gramStart"/>
            <w:r w:rsidR="00D9489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固定源</w:t>
            </w:r>
            <w:r w:rsidRPr="0048586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统一</w:t>
            </w:r>
            <w:proofErr w:type="gramEnd"/>
            <w:r w:rsidRPr="0048586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接口服务的部署</w:t>
            </w:r>
          </w:p>
          <w:p w14:paraId="36D2F8C5" w14:textId="6EFEA0C1" w:rsidR="00485862" w:rsidRPr="00D94898" w:rsidRDefault="00485862" w:rsidP="00D94898">
            <w:pPr>
              <w:pStyle w:val="a8"/>
              <w:numPr>
                <w:ilvl w:val="0"/>
                <w:numId w:val="7"/>
              </w:numPr>
              <w:ind w:firstLineChars="0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  <w:r w:rsidRPr="0048586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排查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四川</w:t>
            </w:r>
            <w:r w:rsidRPr="00485862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重点排污企业考核因子不同步问题。提高全省传输有效率。</w:t>
            </w:r>
          </w:p>
        </w:tc>
      </w:tr>
      <w:tr w:rsidR="00AA3B96" w14:paraId="0F61E965" w14:textId="77777777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E1DD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AAEE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76FE4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6C2205" w14:textId="77777777" w:rsidR="0047457E" w:rsidRPr="006A328C" w:rsidRDefault="0047457E" w:rsidP="00D94898">
            <w:pPr>
              <w:pStyle w:val="a8"/>
              <w:widowControl/>
              <w:ind w:left="360" w:firstLineChars="0" w:firstLine="0"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</w:pPr>
          </w:p>
        </w:tc>
      </w:tr>
      <w:tr w:rsidR="00AA3B96" w14:paraId="6F5E10E6" w14:textId="77777777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776C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938C2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3521B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41914E" w14:textId="77777777" w:rsidR="0020474F" w:rsidRDefault="0020474F" w:rsidP="0020474F">
            <w:pPr>
              <w:pStyle w:val="a8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0474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贵州省</w:t>
            </w:r>
            <w:proofErr w:type="gramStart"/>
            <w:r w:rsidRPr="0020474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国控运</w:t>
            </w:r>
            <w:proofErr w:type="gramEnd"/>
            <w:r w:rsidRPr="0020474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维续签跟进</w:t>
            </w:r>
          </w:p>
          <w:p w14:paraId="0F70195B" w14:textId="77777777" w:rsidR="0020474F" w:rsidRDefault="0020474F" w:rsidP="0020474F">
            <w:pPr>
              <w:pStyle w:val="a8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0474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巴中</w:t>
            </w:r>
            <w:proofErr w:type="gramStart"/>
            <w:r w:rsidRPr="0020474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市客户</w:t>
            </w:r>
            <w:proofErr w:type="gramEnd"/>
            <w:r w:rsidRPr="0020474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拜访</w:t>
            </w:r>
          </w:p>
          <w:p w14:paraId="5A897E7D" w14:textId="77777777" w:rsidR="0020474F" w:rsidRDefault="0020474F" w:rsidP="0020474F">
            <w:pPr>
              <w:pStyle w:val="a8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0474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重庆市</w:t>
            </w:r>
            <w:proofErr w:type="gramStart"/>
            <w:r w:rsidRPr="0020474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数采仪</w:t>
            </w:r>
            <w:proofErr w:type="gramEnd"/>
            <w:r w:rsidRPr="0020474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代理商沟通</w:t>
            </w:r>
          </w:p>
          <w:p w14:paraId="67C677B8" w14:textId="77777777" w:rsidR="0020474F" w:rsidRDefault="0020474F" w:rsidP="0020474F">
            <w:pPr>
              <w:pStyle w:val="a8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0474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广元市远程运维沟通</w:t>
            </w:r>
          </w:p>
          <w:p w14:paraId="43EBC6C7" w14:textId="77777777" w:rsidR="00E943A7" w:rsidRDefault="0020474F" w:rsidP="00397EFA">
            <w:pPr>
              <w:pStyle w:val="a8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20474F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贵阳市客户拜访</w:t>
            </w:r>
          </w:p>
          <w:p w14:paraId="4735A093" w14:textId="77777777" w:rsidR="0020474F" w:rsidRPr="0020474F" w:rsidRDefault="0020474F" w:rsidP="00397EFA">
            <w:pPr>
              <w:pStyle w:val="a8"/>
              <w:widowControl/>
              <w:numPr>
                <w:ilvl w:val="0"/>
                <w:numId w:val="11"/>
              </w:numPr>
              <w:ind w:firstLineChars="0"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乐山市驻地运维合同跟进</w:t>
            </w:r>
          </w:p>
        </w:tc>
      </w:tr>
      <w:tr w:rsidR="00AA3B96" w14:paraId="3539930E" w14:textId="77777777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B3E2C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CBFC7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660C10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98253" w14:textId="77777777" w:rsidR="00AA3B96" w:rsidRDefault="002060F0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AA3B96" w14:paraId="4A050B21" w14:textId="77777777" w:rsidTr="00332920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B3EF3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D954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03878" w14:textId="77777777" w:rsidR="00AA3B96" w:rsidRDefault="00AA3B96" w:rsidP="00D91ECF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731BFA" w14:textId="77777777" w:rsidR="00AA3B96" w:rsidRDefault="002060F0" w:rsidP="00664EA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14:paraId="3E88CB81" w14:textId="77777777" w:rsidR="00AA3B96" w:rsidRPr="00AA3B96" w:rsidRDefault="00AA3B96"/>
    <w:sectPr w:rsidR="00AA3B96" w:rsidRPr="00AA3B96" w:rsidSect="00EC7F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AA2EF" w14:textId="77777777" w:rsidR="00BE7ABF" w:rsidRDefault="00BE7ABF" w:rsidP="000703C5">
      <w:r>
        <w:separator/>
      </w:r>
    </w:p>
  </w:endnote>
  <w:endnote w:type="continuationSeparator" w:id="0">
    <w:p w14:paraId="4AEACB54" w14:textId="77777777" w:rsidR="00BE7ABF" w:rsidRDefault="00BE7ABF" w:rsidP="0007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035BB" w14:textId="77777777" w:rsidR="00BE7ABF" w:rsidRDefault="00BE7ABF" w:rsidP="000703C5">
      <w:r>
        <w:separator/>
      </w:r>
    </w:p>
  </w:footnote>
  <w:footnote w:type="continuationSeparator" w:id="0">
    <w:p w14:paraId="4ADC1130" w14:textId="77777777" w:rsidR="00BE7ABF" w:rsidRDefault="00BE7ABF" w:rsidP="00070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80D3B"/>
    <w:multiLevelType w:val="hybridMultilevel"/>
    <w:tmpl w:val="7946F15C"/>
    <w:lvl w:ilvl="0" w:tplc="E82805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5237B1"/>
    <w:multiLevelType w:val="hybridMultilevel"/>
    <w:tmpl w:val="7F264540"/>
    <w:lvl w:ilvl="0" w:tplc="26CA643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E3C52FB"/>
    <w:multiLevelType w:val="hybridMultilevel"/>
    <w:tmpl w:val="70723CE4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00251E9"/>
    <w:multiLevelType w:val="hybridMultilevel"/>
    <w:tmpl w:val="6D5CCF32"/>
    <w:lvl w:ilvl="0" w:tplc="4C5E364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96C3BBD"/>
    <w:multiLevelType w:val="hybridMultilevel"/>
    <w:tmpl w:val="410267EC"/>
    <w:lvl w:ilvl="0" w:tplc="D84682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C9C7F35"/>
    <w:multiLevelType w:val="hybridMultilevel"/>
    <w:tmpl w:val="2B7EC5C0"/>
    <w:lvl w:ilvl="0" w:tplc="AC4A29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7525F7F"/>
    <w:multiLevelType w:val="hybridMultilevel"/>
    <w:tmpl w:val="091E1DEE"/>
    <w:lvl w:ilvl="0" w:tplc="FCA8645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29301A"/>
    <w:multiLevelType w:val="hybridMultilevel"/>
    <w:tmpl w:val="6BEA88FA"/>
    <w:lvl w:ilvl="0" w:tplc="4844CAF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0034801"/>
    <w:multiLevelType w:val="hybridMultilevel"/>
    <w:tmpl w:val="2B8E6EBC"/>
    <w:lvl w:ilvl="0" w:tplc="C442D3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144EB4"/>
    <w:multiLevelType w:val="hybridMultilevel"/>
    <w:tmpl w:val="027ED752"/>
    <w:lvl w:ilvl="0" w:tplc="8EB2DE4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C418A"/>
    <w:multiLevelType w:val="hybridMultilevel"/>
    <w:tmpl w:val="762AA5A2"/>
    <w:lvl w:ilvl="0" w:tplc="F2AA05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03C5"/>
    <w:rsid w:val="00000DD6"/>
    <w:rsid w:val="00012493"/>
    <w:rsid w:val="00015AFC"/>
    <w:rsid w:val="00017A23"/>
    <w:rsid w:val="00034BD3"/>
    <w:rsid w:val="000463DA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2B85"/>
    <w:rsid w:val="00271F85"/>
    <w:rsid w:val="00277A58"/>
    <w:rsid w:val="002866E3"/>
    <w:rsid w:val="002A65D9"/>
    <w:rsid w:val="002D5198"/>
    <w:rsid w:val="002F08F7"/>
    <w:rsid w:val="003041DC"/>
    <w:rsid w:val="00304CC2"/>
    <w:rsid w:val="00305EB3"/>
    <w:rsid w:val="00307A36"/>
    <w:rsid w:val="00332920"/>
    <w:rsid w:val="00332DFF"/>
    <w:rsid w:val="00341B4B"/>
    <w:rsid w:val="0034458B"/>
    <w:rsid w:val="00370395"/>
    <w:rsid w:val="003706D6"/>
    <w:rsid w:val="00397EFA"/>
    <w:rsid w:val="003B4082"/>
    <w:rsid w:val="003B4569"/>
    <w:rsid w:val="003D3839"/>
    <w:rsid w:val="0040116D"/>
    <w:rsid w:val="004115C3"/>
    <w:rsid w:val="004248EB"/>
    <w:rsid w:val="004503E1"/>
    <w:rsid w:val="004604CA"/>
    <w:rsid w:val="0047457E"/>
    <w:rsid w:val="00485862"/>
    <w:rsid w:val="0049104C"/>
    <w:rsid w:val="004C4541"/>
    <w:rsid w:val="00500732"/>
    <w:rsid w:val="0050225B"/>
    <w:rsid w:val="005050F2"/>
    <w:rsid w:val="00515DC2"/>
    <w:rsid w:val="0051767F"/>
    <w:rsid w:val="00521D64"/>
    <w:rsid w:val="00546B97"/>
    <w:rsid w:val="00562D10"/>
    <w:rsid w:val="00582588"/>
    <w:rsid w:val="00591F5D"/>
    <w:rsid w:val="005928A4"/>
    <w:rsid w:val="005C0180"/>
    <w:rsid w:val="005C22F0"/>
    <w:rsid w:val="005D40BF"/>
    <w:rsid w:val="005D7F0B"/>
    <w:rsid w:val="005E40AA"/>
    <w:rsid w:val="00621483"/>
    <w:rsid w:val="00631C96"/>
    <w:rsid w:val="00641348"/>
    <w:rsid w:val="006427E3"/>
    <w:rsid w:val="00651F1E"/>
    <w:rsid w:val="0066201A"/>
    <w:rsid w:val="00667053"/>
    <w:rsid w:val="00681F02"/>
    <w:rsid w:val="006A328C"/>
    <w:rsid w:val="006A4695"/>
    <w:rsid w:val="006C7050"/>
    <w:rsid w:val="006F7BF9"/>
    <w:rsid w:val="00707A3E"/>
    <w:rsid w:val="00715281"/>
    <w:rsid w:val="00722F37"/>
    <w:rsid w:val="007377E2"/>
    <w:rsid w:val="00753846"/>
    <w:rsid w:val="007652F4"/>
    <w:rsid w:val="007709B3"/>
    <w:rsid w:val="00776C8F"/>
    <w:rsid w:val="00783963"/>
    <w:rsid w:val="007A223D"/>
    <w:rsid w:val="007A75AC"/>
    <w:rsid w:val="007C2E0D"/>
    <w:rsid w:val="007D48C1"/>
    <w:rsid w:val="007D7923"/>
    <w:rsid w:val="007F015F"/>
    <w:rsid w:val="0080663E"/>
    <w:rsid w:val="008158DB"/>
    <w:rsid w:val="00840509"/>
    <w:rsid w:val="00842DB8"/>
    <w:rsid w:val="00880C0A"/>
    <w:rsid w:val="00882E9D"/>
    <w:rsid w:val="008A4322"/>
    <w:rsid w:val="008C6FFA"/>
    <w:rsid w:val="008D3B92"/>
    <w:rsid w:val="008E49C0"/>
    <w:rsid w:val="008F30DB"/>
    <w:rsid w:val="009157D7"/>
    <w:rsid w:val="00917F50"/>
    <w:rsid w:val="00920A19"/>
    <w:rsid w:val="0096431D"/>
    <w:rsid w:val="0099096F"/>
    <w:rsid w:val="00997DDE"/>
    <w:rsid w:val="009A6589"/>
    <w:rsid w:val="009D748D"/>
    <w:rsid w:val="009F10DE"/>
    <w:rsid w:val="00A00BBE"/>
    <w:rsid w:val="00A0417D"/>
    <w:rsid w:val="00A22E0B"/>
    <w:rsid w:val="00A30B7F"/>
    <w:rsid w:val="00A40959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83528"/>
    <w:rsid w:val="00BB1150"/>
    <w:rsid w:val="00BB12B2"/>
    <w:rsid w:val="00BB7C1F"/>
    <w:rsid w:val="00BC3EED"/>
    <w:rsid w:val="00BC5430"/>
    <w:rsid w:val="00BD1011"/>
    <w:rsid w:val="00BE7ABF"/>
    <w:rsid w:val="00BF422E"/>
    <w:rsid w:val="00C02843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F0D23"/>
    <w:rsid w:val="00D27A6A"/>
    <w:rsid w:val="00D36F98"/>
    <w:rsid w:val="00D56A7B"/>
    <w:rsid w:val="00D62DE8"/>
    <w:rsid w:val="00D90A49"/>
    <w:rsid w:val="00D91ECF"/>
    <w:rsid w:val="00D94898"/>
    <w:rsid w:val="00DB5311"/>
    <w:rsid w:val="00DC24EE"/>
    <w:rsid w:val="00DD18A9"/>
    <w:rsid w:val="00DD1B0E"/>
    <w:rsid w:val="00DF2F0C"/>
    <w:rsid w:val="00E06A88"/>
    <w:rsid w:val="00E1407E"/>
    <w:rsid w:val="00E44C44"/>
    <w:rsid w:val="00E943A7"/>
    <w:rsid w:val="00E97F84"/>
    <w:rsid w:val="00EA6B75"/>
    <w:rsid w:val="00EB6BAC"/>
    <w:rsid w:val="00EC6BBC"/>
    <w:rsid w:val="00EC7FB6"/>
    <w:rsid w:val="00EF2C92"/>
    <w:rsid w:val="00F113B2"/>
    <w:rsid w:val="00F16912"/>
    <w:rsid w:val="00F5189E"/>
    <w:rsid w:val="00F67E17"/>
    <w:rsid w:val="00F72053"/>
    <w:rsid w:val="00FE70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146A95"/>
  <w15:docId w15:val="{FF85E58B-35F7-4DEE-A705-FA3F8698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03C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03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03C5"/>
    <w:rPr>
      <w:sz w:val="18"/>
      <w:szCs w:val="18"/>
    </w:rPr>
  </w:style>
  <w:style w:type="table" w:styleId="a7">
    <w:name w:val="Table Grid"/>
    <w:basedOn w:val="a1"/>
    <w:uiPriority w:val="39"/>
    <w:rsid w:val="00070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3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1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130</Words>
  <Characters>746</Characters>
  <Application>Microsoft Office Word</Application>
  <DocSecurity>0</DocSecurity>
  <Lines>6</Lines>
  <Paragraphs>1</Paragraphs>
  <ScaleCrop>false</ScaleCrop>
  <Company>Lenovo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wang Frankie</cp:lastModifiedBy>
  <cp:revision>96</cp:revision>
  <dcterms:created xsi:type="dcterms:W3CDTF">2019-06-06T06:44:00Z</dcterms:created>
  <dcterms:modified xsi:type="dcterms:W3CDTF">2020-04-13T02:14:00Z</dcterms:modified>
</cp:coreProperties>
</file>